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4B612" w14:textId="52AA3B47" w:rsidR="00166C94" w:rsidRPr="00166C94" w:rsidRDefault="00166C94" w:rsidP="00166C94">
      <w:pPr>
        <w:spacing w:line="360" w:lineRule="auto"/>
        <w:contextualSpacing/>
        <w:rPr>
          <w:lang w:val="en-CA" w:eastAsia="zh-CN"/>
        </w:rPr>
      </w:pPr>
      <w:r w:rsidRPr="00166C94">
        <w:rPr>
          <w:lang w:val="en-CA" w:eastAsia="zh-CN"/>
        </w:rPr>
        <w:t>Relationship: 2074</w:t>
      </w:r>
      <w:r w:rsidRPr="00166C94">
        <w:rPr>
          <w:lang w:val="en-CA" w:eastAsia="zh-CN"/>
        </w:rPr>
        <w:tab/>
      </w:r>
    </w:p>
    <w:p w14:paraId="046E07E0" w14:textId="5389C19B" w:rsidR="00166C94" w:rsidRDefault="00166C94" w:rsidP="00166C94">
      <w:pPr>
        <w:spacing w:line="360" w:lineRule="auto"/>
        <w:contextualSpacing/>
        <w:rPr>
          <w:lang w:val="en-CA" w:eastAsia="zh-CN"/>
        </w:rPr>
      </w:pPr>
      <w:r w:rsidRPr="00166C94">
        <w:rPr>
          <w:lang w:val="en-CA" w:eastAsia="zh-CN"/>
        </w:rPr>
        <w:t>Increase, DNA strand breaks leads to Increase, Apoptosis</w:t>
      </w:r>
    </w:p>
    <w:p w14:paraId="0A3C0B79" w14:textId="77777777" w:rsidR="00166C94" w:rsidRDefault="00166C94" w:rsidP="00166C94">
      <w:pPr>
        <w:spacing w:line="360" w:lineRule="auto"/>
        <w:contextualSpacing/>
        <w:rPr>
          <w:lang w:val="en-CA" w:eastAsia="zh-CN"/>
        </w:rPr>
      </w:pPr>
    </w:p>
    <w:p w14:paraId="1DE458F6" w14:textId="5B0C75B6" w:rsidR="00166C94" w:rsidRDefault="00166C94" w:rsidP="00166C94">
      <w:pPr>
        <w:spacing w:line="360" w:lineRule="auto"/>
        <w:contextualSpacing/>
        <w:rPr>
          <w:lang w:val="en-CA" w:eastAsia="zh-CN"/>
        </w:rPr>
      </w:pPr>
      <w:r>
        <w:rPr>
          <w:lang w:val="en-CA" w:eastAsia="zh-CN"/>
        </w:rPr>
        <w:t>Figures</w:t>
      </w:r>
    </w:p>
    <w:p w14:paraId="1C582A24" w14:textId="77777777" w:rsidR="00166C94" w:rsidRDefault="00166C94" w:rsidP="00166C94">
      <w:pPr>
        <w:spacing w:line="360" w:lineRule="auto"/>
        <w:contextualSpacing/>
        <w:rPr>
          <w:lang w:val="en-CA" w:eastAsia="zh-CN"/>
        </w:rPr>
      </w:pPr>
    </w:p>
    <w:p w14:paraId="44EED09F" w14:textId="75CE3FAF" w:rsidR="00F65398" w:rsidRDefault="00F65398" w:rsidP="00F65398">
      <w:pPr>
        <w:spacing w:line="360" w:lineRule="auto"/>
        <w:contextualSpacing/>
        <w:rPr>
          <w:lang w:val="en-CA" w:eastAsia="zh-CN"/>
        </w:rPr>
      </w:pPr>
      <w:r>
        <w:rPr>
          <w:noProof/>
          <w:lang w:val="en-CA" w:eastAsia="zh-CN"/>
          <w14:ligatures w14:val="standardContextual"/>
        </w:rPr>
        <w:drawing>
          <wp:inline distT="0" distB="0" distL="0" distR="0" wp14:anchorId="0650447A" wp14:editId="30DC7BBB">
            <wp:extent cx="5731510" cy="1660525"/>
            <wp:effectExtent l="0" t="0" r="0" b="3175"/>
            <wp:docPr id="178587807" name="Picture 3" descr="A graph of a number of colum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7807" name="Picture 3" descr="A graph of a number of column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510" cy="16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F939" w14:textId="29312FDF" w:rsidR="0034638F" w:rsidRDefault="00F65398" w:rsidP="0021138B">
      <w:pPr>
        <w:spacing w:line="360" w:lineRule="auto"/>
        <w:contextualSpacing/>
        <w:rPr>
          <w:lang w:val="en-CA" w:eastAsia="zh-CN"/>
        </w:rPr>
      </w:pPr>
      <w:r>
        <w:rPr>
          <w:lang w:val="en-CA" w:eastAsia="zh-CN"/>
        </w:rPr>
        <w:t xml:space="preserve">Figure </w:t>
      </w:r>
      <w:r w:rsidR="004722F1">
        <w:rPr>
          <w:lang w:val="en-CA" w:eastAsia="zh-CN"/>
        </w:rPr>
        <w:t>1</w:t>
      </w:r>
      <w:r>
        <w:rPr>
          <w:lang w:val="en-CA" w:eastAsia="zh-CN"/>
        </w:rPr>
        <w:t xml:space="preserve">. </w:t>
      </w:r>
      <w:r w:rsidRPr="00CA5843">
        <w:rPr>
          <w:lang w:val="en-CA" w:eastAsia="zh-CN"/>
        </w:rPr>
        <w:t xml:space="preserve">Quantification of DNA damage and apoptosis markers in developing mouse </w:t>
      </w:r>
      <w:r w:rsidR="00732ED2" w:rsidRPr="00732ED2">
        <w:rPr>
          <w:lang w:val="en-CA" w:eastAsia="zh-CN"/>
        </w:rPr>
        <w:t xml:space="preserve">cerebellum </w:t>
      </w:r>
      <w:r w:rsidRPr="00CA5843">
        <w:rPr>
          <w:lang w:val="en-CA" w:eastAsia="zh-CN"/>
        </w:rPr>
        <w:t>at E15.5 and E17.5</w:t>
      </w:r>
      <w:r>
        <w:rPr>
          <w:lang w:val="en-CA" w:eastAsia="zh-CN"/>
        </w:rPr>
        <w:t xml:space="preserve">. </w:t>
      </w:r>
      <w:r w:rsidRPr="00CA5843">
        <w:rPr>
          <w:lang w:val="en-CA" w:eastAsia="zh-CN"/>
        </w:rPr>
        <w:t>(</w:t>
      </w:r>
      <w:r>
        <w:rPr>
          <w:lang w:val="en-CA" w:eastAsia="zh-CN"/>
        </w:rPr>
        <w:t>A</w:t>
      </w:r>
      <w:r w:rsidRPr="00CA5843">
        <w:rPr>
          <w:lang w:val="en-CA" w:eastAsia="zh-CN"/>
        </w:rPr>
        <w:t xml:space="preserve">) Percentage of cells with γH2AX foci, indicating </w:t>
      </w:r>
      <w:r>
        <w:rPr>
          <w:lang w:val="en-CA" w:eastAsia="zh-CN"/>
        </w:rPr>
        <w:t xml:space="preserve">DSBs; </w:t>
      </w:r>
      <w:r w:rsidRPr="00CA5843">
        <w:rPr>
          <w:lang w:val="en-CA" w:eastAsia="zh-CN"/>
        </w:rPr>
        <w:t>(</w:t>
      </w:r>
      <w:r>
        <w:rPr>
          <w:lang w:val="en-CA" w:eastAsia="zh-CN"/>
        </w:rPr>
        <w:t>B</w:t>
      </w:r>
      <w:r w:rsidRPr="00CA5843">
        <w:rPr>
          <w:lang w:val="en-CA" w:eastAsia="zh-CN"/>
        </w:rPr>
        <w:t>) Percentage of TUNEL-positive cells, representing apoptotic DNA fragmentation</w:t>
      </w:r>
      <w:r>
        <w:rPr>
          <w:lang w:val="en-CA" w:eastAsia="zh-CN"/>
        </w:rPr>
        <w:t xml:space="preserve">; </w:t>
      </w:r>
      <w:r w:rsidRPr="00CA5843">
        <w:rPr>
          <w:lang w:val="en-CA" w:eastAsia="zh-CN"/>
        </w:rPr>
        <w:t>(</w:t>
      </w:r>
      <w:r>
        <w:rPr>
          <w:lang w:val="en-CA" w:eastAsia="zh-CN"/>
        </w:rPr>
        <w:t>C</w:t>
      </w:r>
      <w:r w:rsidRPr="00CA5843">
        <w:rPr>
          <w:lang w:val="en-CA" w:eastAsia="zh-CN"/>
        </w:rPr>
        <w:t>) Percentage of cleaved caspase-3-positive cells, indicating apoptotic activation</w:t>
      </w:r>
      <w:r>
        <w:rPr>
          <w:lang w:val="en-CA" w:eastAsia="zh-CN"/>
        </w:rPr>
        <w:t xml:space="preserve">. </w:t>
      </w:r>
      <w:r w:rsidRPr="00CA5843">
        <w:rPr>
          <w:lang w:val="en-CA" w:eastAsia="zh-CN"/>
        </w:rPr>
        <w:t>Data are shown for control (</w:t>
      </w:r>
      <w:proofErr w:type="spellStart"/>
      <w:r w:rsidRPr="00CA5843">
        <w:rPr>
          <w:lang w:val="en-CA" w:eastAsia="zh-CN"/>
        </w:rPr>
        <w:t>Nbn</w:t>
      </w:r>
      <w:r w:rsidRPr="00CA5843">
        <w:rPr>
          <w:vertAlign w:val="superscript"/>
          <w:lang w:val="en-CA" w:eastAsia="zh-CN"/>
        </w:rPr>
        <w:t>Ctrl</w:t>
      </w:r>
      <w:proofErr w:type="spellEnd"/>
      <w:r w:rsidRPr="00CA5843">
        <w:rPr>
          <w:lang w:val="en-CA" w:eastAsia="zh-CN"/>
        </w:rPr>
        <w:t xml:space="preserve">), </w:t>
      </w:r>
      <w:proofErr w:type="spellStart"/>
      <w:r w:rsidRPr="00CA5843">
        <w:rPr>
          <w:lang w:val="en-CA" w:eastAsia="zh-CN"/>
        </w:rPr>
        <w:t>Nbn</w:t>
      </w:r>
      <w:proofErr w:type="spellEnd"/>
      <w:r w:rsidRPr="00CA5843">
        <w:rPr>
          <w:lang w:val="en-CA" w:eastAsia="zh-CN"/>
        </w:rPr>
        <w:t>-deficient (</w:t>
      </w:r>
      <w:proofErr w:type="spellStart"/>
      <w:r w:rsidRPr="00CA5843">
        <w:rPr>
          <w:lang w:val="en-CA" w:eastAsia="zh-CN"/>
        </w:rPr>
        <w:t>Nbn</w:t>
      </w:r>
      <w:r w:rsidRPr="00CA5843">
        <w:rPr>
          <w:vertAlign w:val="superscript"/>
          <w:lang w:val="en-CA" w:eastAsia="zh-CN"/>
        </w:rPr>
        <w:t>Nes</w:t>
      </w:r>
      <w:proofErr w:type="spellEnd"/>
      <w:r w:rsidRPr="00CA5843">
        <w:rPr>
          <w:vertAlign w:val="superscript"/>
          <w:lang w:val="en-CA" w:eastAsia="zh-CN"/>
        </w:rPr>
        <w:t>-Cre</w:t>
      </w:r>
      <w:r w:rsidRPr="00CA5843">
        <w:rPr>
          <w:lang w:val="en-CA" w:eastAsia="zh-CN"/>
        </w:rPr>
        <w:t xml:space="preserve">), and </w:t>
      </w:r>
      <w:proofErr w:type="spellStart"/>
      <w:r w:rsidRPr="00CA5843">
        <w:rPr>
          <w:lang w:val="en-CA" w:eastAsia="zh-CN"/>
        </w:rPr>
        <w:t>Nbn</w:t>
      </w:r>
      <w:proofErr w:type="spellEnd"/>
      <w:r w:rsidRPr="00CA5843">
        <w:rPr>
          <w:lang w:val="en-CA" w:eastAsia="zh-CN"/>
        </w:rPr>
        <w:t>/Atm double-deficient (</w:t>
      </w:r>
      <w:proofErr w:type="spellStart"/>
      <w:r w:rsidRPr="00CA5843">
        <w:rPr>
          <w:lang w:val="en-CA" w:eastAsia="zh-CN"/>
        </w:rPr>
        <w:t>Nbn</w:t>
      </w:r>
      <w:proofErr w:type="spellEnd"/>
      <w:r w:rsidRPr="00CA5843">
        <w:rPr>
          <w:lang w:val="en-CA" w:eastAsia="zh-CN"/>
        </w:rPr>
        <w:t>/</w:t>
      </w:r>
      <w:proofErr w:type="spellStart"/>
      <w:r w:rsidRPr="00CA5843">
        <w:rPr>
          <w:lang w:val="en-CA" w:eastAsia="zh-CN"/>
        </w:rPr>
        <w:t>Atm</w:t>
      </w:r>
      <w:r w:rsidRPr="00CA5843">
        <w:rPr>
          <w:vertAlign w:val="superscript"/>
          <w:lang w:val="en-CA" w:eastAsia="zh-CN"/>
        </w:rPr>
        <w:t>Nes</w:t>
      </w:r>
      <w:proofErr w:type="spellEnd"/>
      <w:r w:rsidRPr="00CA5843">
        <w:rPr>
          <w:vertAlign w:val="superscript"/>
          <w:lang w:val="en-CA" w:eastAsia="zh-CN"/>
        </w:rPr>
        <w:t>-Cre</w:t>
      </w:r>
      <w:r w:rsidRPr="00CA5843">
        <w:rPr>
          <w:lang w:val="en-CA" w:eastAsia="zh-CN"/>
        </w:rPr>
        <w:t xml:space="preserve">) mice. Error bars represent SEM; statistical significance is indicated as *p &lt; 0.05, **p &lt; 0.01, ***p &lt; 0.001, ns = not significant. </w:t>
      </w:r>
      <w:r>
        <w:rPr>
          <w:lang w:val="en-CA" w:eastAsia="zh-CN"/>
        </w:rPr>
        <w:t xml:space="preserve">Figure </w:t>
      </w:r>
      <w:r w:rsidRPr="00CA5843">
        <w:rPr>
          <w:lang w:val="en-CA" w:eastAsia="zh-CN"/>
        </w:rPr>
        <w:t>recreated from Rodrigues et al.</w:t>
      </w:r>
      <w:r>
        <w:rPr>
          <w:lang w:val="en-CA" w:eastAsia="zh-CN"/>
        </w:rPr>
        <w:t xml:space="preserve"> (2013).</w:t>
      </w:r>
    </w:p>
    <w:p w14:paraId="67061D12" w14:textId="77777777" w:rsidR="00166C94" w:rsidRDefault="00166C94" w:rsidP="0021138B">
      <w:pPr>
        <w:spacing w:line="360" w:lineRule="auto"/>
        <w:contextualSpacing/>
        <w:rPr>
          <w:lang w:val="en-CA" w:eastAsia="zh-CN"/>
        </w:rPr>
      </w:pPr>
    </w:p>
    <w:p w14:paraId="4CF4EB6A" w14:textId="77777777" w:rsidR="00166C94" w:rsidRDefault="00166C94" w:rsidP="0021138B">
      <w:pPr>
        <w:spacing w:line="360" w:lineRule="auto"/>
        <w:contextualSpacing/>
        <w:rPr>
          <w:lang w:val="en-CA" w:eastAsia="zh-CN"/>
        </w:rPr>
      </w:pPr>
    </w:p>
    <w:p w14:paraId="498ECA67" w14:textId="77777777" w:rsidR="00166C94" w:rsidRDefault="00166C94" w:rsidP="0021138B">
      <w:pPr>
        <w:spacing w:line="360" w:lineRule="auto"/>
        <w:contextualSpacing/>
        <w:rPr>
          <w:lang w:val="en-CA" w:eastAsia="zh-CN"/>
        </w:rPr>
      </w:pPr>
    </w:p>
    <w:p w14:paraId="319805F2" w14:textId="77777777" w:rsidR="0034638F" w:rsidRDefault="0034638F" w:rsidP="00D74B1A">
      <w:pPr>
        <w:spacing w:line="360" w:lineRule="auto"/>
        <w:ind w:firstLine="720"/>
        <w:contextualSpacing/>
        <w:rPr>
          <w:lang w:val="en-CA" w:eastAsia="zh-CN"/>
        </w:rPr>
      </w:pPr>
    </w:p>
    <w:p w14:paraId="73DEE434" w14:textId="1803FA8B" w:rsidR="00AD2C11" w:rsidRDefault="00AD2C11" w:rsidP="00AD2C11">
      <w:pPr>
        <w:spacing w:line="360" w:lineRule="auto"/>
        <w:contextualSpacing/>
        <w:rPr>
          <w:rStyle w:val="csl-entry"/>
        </w:rPr>
      </w:pPr>
      <w:r>
        <w:rPr>
          <w:noProof/>
          <w14:ligatures w14:val="standardContextual"/>
        </w:rPr>
        <w:drawing>
          <wp:inline distT="0" distB="0" distL="0" distR="0" wp14:anchorId="6BAF6762" wp14:editId="36A8C2F6">
            <wp:extent cx="5731510" cy="1289685"/>
            <wp:effectExtent l="0" t="0" r="0" b="5715"/>
            <wp:docPr id="687028810" name="Picture 4" descr="A graph of a bar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28810" name="Picture 4" descr="A graph of a bar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01" cy="12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69E3" w14:textId="4E867006" w:rsidR="00AD2C11" w:rsidRDefault="00AD2C11" w:rsidP="00AD2C11">
      <w:pPr>
        <w:spacing w:line="360" w:lineRule="auto"/>
        <w:contextualSpacing/>
        <w:rPr>
          <w:rStyle w:val="csl-entry"/>
        </w:rPr>
      </w:pPr>
      <w:r>
        <w:rPr>
          <w:rStyle w:val="csl-entry"/>
        </w:rPr>
        <w:t xml:space="preserve">Figure </w:t>
      </w:r>
      <w:r w:rsidR="004722F1">
        <w:rPr>
          <w:rStyle w:val="csl-entry"/>
        </w:rPr>
        <w:t>2</w:t>
      </w:r>
      <w:r>
        <w:rPr>
          <w:rStyle w:val="csl-entry"/>
        </w:rPr>
        <w:t xml:space="preserve">. </w:t>
      </w:r>
      <w:r w:rsidRPr="00AD2C11">
        <w:rPr>
          <w:rStyle w:val="csl-entry"/>
        </w:rPr>
        <w:t xml:space="preserve">P53 deficiency enhances DNA damage, DNA repair, and apoptosis induced by </w:t>
      </w:r>
      <w:proofErr w:type="spellStart"/>
      <w:r w:rsidRPr="00AD2C11">
        <w:rPr>
          <w:rStyle w:val="csl-entry"/>
        </w:rPr>
        <w:t>Apc</w:t>
      </w:r>
      <w:proofErr w:type="spellEnd"/>
      <w:r w:rsidRPr="00AD2C11">
        <w:rPr>
          <w:rStyle w:val="csl-entry"/>
        </w:rPr>
        <w:t xml:space="preserve"> loss. </w:t>
      </w:r>
      <w:r>
        <w:rPr>
          <w:rStyle w:val="csl-entry"/>
        </w:rPr>
        <w:t xml:space="preserve">Percentages of (A) </w:t>
      </w:r>
      <w:r w:rsidRPr="00355BF5">
        <w:rPr>
          <w:rStyle w:val="csl-entry"/>
        </w:rPr>
        <w:t>γH2AX-positive</w:t>
      </w:r>
      <w:r>
        <w:rPr>
          <w:rStyle w:val="csl-entry"/>
        </w:rPr>
        <w:t xml:space="preserve"> cells, (B) </w:t>
      </w:r>
      <w:r w:rsidRPr="00130395">
        <w:rPr>
          <w:rStyle w:val="csl-entry"/>
        </w:rPr>
        <w:t>Rad51</w:t>
      </w:r>
      <w:r>
        <w:rPr>
          <w:rStyle w:val="csl-entry"/>
        </w:rPr>
        <w:t xml:space="preserve">-positive </w:t>
      </w:r>
      <w:r w:rsidRPr="00355BF5">
        <w:rPr>
          <w:rStyle w:val="csl-entry"/>
        </w:rPr>
        <w:t>cells</w:t>
      </w:r>
      <w:r>
        <w:rPr>
          <w:rStyle w:val="csl-entry"/>
        </w:rPr>
        <w:t xml:space="preserve">, and (C) </w:t>
      </w:r>
      <w:r w:rsidRPr="00355BF5">
        <w:rPr>
          <w:rStyle w:val="csl-entry"/>
        </w:rPr>
        <w:t xml:space="preserve">caspase-3-positive cells </w:t>
      </w:r>
      <w:r>
        <w:rPr>
          <w:rStyle w:val="csl-entry"/>
        </w:rPr>
        <w:t xml:space="preserve">in at day 4 or day 6 in wildtype (WT), </w:t>
      </w:r>
      <w:proofErr w:type="spellStart"/>
      <w:r>
        <w:rPr>
          <w:rStyle w:val="csl-entry"/>
        </w:rPr>
        <w:t>Apc</w:t>
      </w:r>
      <w:proofErr w:type="spellEnd"/>
      <w:r>
        <w:rPr>
          <w:rStyle w:val="csl-entry"/>
        </w:rPr>
        <w:t xml:space="preserve">-deficient, p53-deficient, or </w:t>
      </w:r>
      <w:proofErr w:type="spellStart"/>
      <w:r>
        <w:rPr>
          <w:rStyle w:val="csl-entry"/>
        </w:rPr>
        <w:t>Apc</w:t>
      </w:r>
      <w:proofErr w:type="spellEnd"/>
      <w:r>
        <w:rPr>
          <w:rStyle w:val="csl-entry"/>
        </w:rPr>
        <w:t xml:space="preserve">/p53 double knockout mouse hepatocytes. </w:t>
      </w:r>
      <w:r w:rsidR="00DF7DAE">
        <w:rPr>
          <w:rStyle w:val="csl-entry"/>
        </w:rPr>
        <w:t xml:space="preserve">Figures from </w:t>
      </w:r>
      <w:proofErr w:type="spellStart"/>
      <w:r w:rsidR="00DF7DAE" w:rsidRPr="00130395">
        <w:rPr>
          <w:rStyle w:val="csl-entry"/>
        </w:rPr>
        <w:t>Méniel</w:t>
      </w:r>
      <w:proofErr w:type="spellEnd"/>
      <w:r w:rsidR="00DF7DAE" w:rsidRPr="00130395">
        <w:rPr>
          <w:rStyle w:val="csl-entry"/>
        </w:rPr>
        <w:t xml:space="preserve"> et al.</w:t>
      </w:r>
      <w:r w:rsidR="00DF7DAE">
        <w:rPr>
          <w:rStyle w:val="csl-entry"/>
        </w:rPr>
        <w:t xml:space="preserve"> (2015</w:t>
      </w:r>
      <w:r w:rsidR="00DF7DAE" w:rsidRPr="00130395">
        <w:rPr>
          <w:rStyle w:val="csl-entry"/>
        </w:rPr>
        <w:t>)</w:t>
      </w:r>
      <w:r w:rsidR="00DF7DAE">
        <w:rPr>
          <w:rStyle w:val="csl-entry"/>
        </w:rPr>
        <w:t>.</w:t>
      </w:r>
    </w:p>
    <w:p w14:paraId="1A98C73E" w14:textId="77777777" w:rsidR="00AD2C11" w:rsidRDefault="00AD2C11" w:rsidP="00AD2C11">
      <w:pPr>
        <w:spacing w:line="360" w:lineRule="auto"/>
        <w:contextualSpacing/>
        <w:rPr>
          <w:rStyle w:val="csl-entry"/>
        </w:rPr>
      </w:pPr>
    </w:p>
    <w:p w14:paraId="1B6A3939" w14:textId="77777777" w:rsidR="00C028B4" w:rsidRDefault="00C028B4" w:rsidP="00C028B4">
      <w:pPr>
        <w:widowControl w:val="0"/>
        <w:autoSpaceDE w:val="0"/>
        <w:autoSpaceDN w:val="0"/>
        <w:adjustRightInd w:val="0"/>
        <w:spacing w:after="240" w:line="360" w:lineRule="auto"/>
        <w:contextualSpacing/>
      </w:pPr>
    </w:p>
    <w:p w14:paraId="5521F8E0" w14:textId="77777777" w:rsidR="00C028B4" w:rsidRDefault="00C028B4" w:rsidP="00C028B4">
      <w:pPr>
        <w:widowControl w:val="0"/>
        <w:autoSpaceDE w:val="0"/>
        <w:autoSpaceDN w:val="0"/>
        <w:adjustRightInd w:val="0"/>
        <w:spacing w:after="240" w:line="360" w:lineRule="auto"/>
        <w:contextualSpacing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14:ligatures w14:val="standardContextual"/>
        </w:rPr>
        <w:drawing>
          <wp:inline distT="0" distB="0" distL="0" distR="0" wp14:anchorId="5BDD6E6E" wp14:editId="47565B9D">
            <wp:extent cx="3420000" cy="2411563"/>
            <wp:effectExtent l="0" t="0" r="0" b="0"/>
            <wp:docPr id="1980446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46076" name="Picture 198044607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04" cy="242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599EC" w14:textId="604678C7" w:rsidR="00C028B4" w:rsidRPr="004F723C" w:rsidRDefault="00C028B4" w:rsidP="00C028B4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lang w:val="en-CA"/>
        </w:rPr>
      </w:pPr>
      <w:r w:rsidRPr="00743430">
        <w:rPr>
          <w:rFonts w:eastAsia="Times New Roman"/>
          <w:color w:val="000000"/>
        </w:rPr>
        <w:t xml:space="preserve">Figure </w:t>
      </w:r>
      <w:r w:rsidR="004722F1">
        <w:rPr>
          <w:rFonts w:eastAsia="Times New Roman"/>
          <w:color w:val="000000"/>
          <w:lang w:eastAsia="zh-CN"/>
        </w:rPr>
        <w:t>3</w:t>
      </w:r>
      <w:r>
        <w:rPr>
          <w:rFonts w:eastAsia="Times New Roman"/>
          <w:color w:val="000000"/>
        </w:rPr>
        <w:t>.</w:t>
      </w:r>
      <w:r w:rsidRPr="00743430">
        <w:rPr>
          <w:rFonts w:eastAsia="Times New Roman"/>
          <w:color w:val="000000"/>
        </w:rPr>
        <w:t xml:space="preserve"> </w:t>
      </w:r>
      <w:r w:rsidRPr="00743430">
        <w:rPr>
          <w:lang w:val="en-CA"/>
        </w:rPr>
        <w:t xml:space="preserve">Relationship between </w:t>
      </w:r>
      <w:r>
        <w:rPr>
          <w:lang w:val="en-CA"/>
        </w:rPr>
        <w:t>l</w:t>
      </w:r>
      <w:r w:rsidRPr="00743430">
        <w:rPr>
          <w:lang w:val="en-CA"/>
        </w:rPr>
        <w:t>operamide concentration (</w:t>
      </w:r>
      <w:r w:rsidRPr="00743430">
        <w:rPr>
          <w:color w:val="000000"/>
        </w:rPr>
        <w:t>μM</w:t>
      </w:r>
      <w:r w:rsidRPr="00743430">
        <w:rPr>
          <w:lang w:val="en-CA"/>
        </w:rPr>
        <w:t xml:space="preserve">), </w:t>
      </w:r>
      <w:r>
        <w:rPr>
          <w:lang w:val="en-CA"/>
        </w:rPr>
        <w:t xml:space="preserve">the percentage of </w:t>
      </w:r>
      <w:r w:rsidRPr="00A772CC">
        <w:rPr>
          <w:lang w:val="en-CA"/>
        </w:rPr>
        <w:t>DNA in the comet tail (% tail DNA</w:t>
      </w:r>
      <w:r>
        <w:rPr>
          <w:lang w:val="en-CA"/>
        </w:rPr>
        <w:t>)</w:t>
      </w:r>
      <w:r w:rsidRPr="00743430">
        <w:rPr>
          <w:lang w:val="en-CA"/>
        </w:rPr>
        <w:t xml:space="preserve"> and </w:t>
      </w:r>
      <w:r>
        <w:rPr>
          <w:lang w:val="en-CA"/>
        </w:rPr>
        <w:t xml:space="preserve">% </w:t>
      </w:r>
      <w:r w:rsidRPr="00743430">
        <w:rPr>
          <w:lang w:val="en-CA"/>
        </w:rPr>
        <w:t xml:space="preserve">apoptotic cells in the Molt4 acute </w:t>
      </w:r>
      <w:r w:rsidRPr="00743430">
        <w:rPr>
          <w:color w:val="000000"/>
        </w:rPr>
        <w:t>lymphocytic leukemia cell line</w:t>
      </w:r>
      <w:r w:rsidRPr="00743430">
        <w:rPr>
          <w:lang w:val="en-CA"/>
        </w:rPr>
        <w:t xml:space="preserve">. The % tail DNA was measured using the alkaline comet assay to quantify </w:t>
      </w:r>
      <w:r>
        <w:rPr>
          <w:lang w:val="en-CA"/>
        </w:rPr>
        <w:t>l</w:t>
      </w:r>
      <w:r w:rsidRPr="00743430">
        <w:rPr>
          <w:lang w:val="en-CA"/>
        </w:rPr>
        <w:t>operamide</w:t>
      </w:r>
      <w:r>
        <w:rPr>
          <w:lang w:val="en-CA"/>
        </w:rPr>
        <w:t xml:space="preserve">-induced </w:t>
      </w:r>
      <w:r w:rsidRPr="00743430">
        <w:rPr>
          <w:lang w:val="en-CA"/>
        </w:rPr>
        <w:t>strand breaks. The % apoptotic cells were quantified using the Annexin V/</w:t>
      </w:r>
      <w:r w:rsidRPr="00743430">
        <w:t>7AAD+ and flow cytometry</w:t>
      </w:r>
      <w:r>
        <w:t xml:space="preserve">. </w:t>
      </w:r>
      <w:r w:rsidR="009B4CD3">
        <w:t xml:space="preserve">Figure </w:t>
      </w:r>
      <w:r w:rsidR="009B4CD3">
        <w:rPr>
          <w:rFonts w:hint="eastAsia"/>
          <w:color w:val="000000" w:themeColor="text1"/>
          <w:lang w:val="en-CA" w:eastAsia="zh-CN"/>
        </w:rPr>
        <w:t xml:space="preserve">created using data </w:t>
      </w:r>
      <w:r>
        <w:t xml:space="preserve">retrieved from </w:t>
      </w:r>
      <w:proofErr w:type="spellStart"/>
      <w:r>
        <w:t>He</w:t>
      </w:r>
      <w:proofErr w:type="spellEnd"/>
      <w:r>
        <w:t xml:space="preserve"> et al. (201</w:t>
      </w:r>
      <w:r w:rsidR="009B744C">
        <w:t>8</w:t>
      </w:r>
      <w:r>
        <w:t>).</w:t>
      </w:r>
    </w:p>
    <w:p w14:paraId="53AE7868" w14:textId="77777777" w:rsidR="00C028B4" w:rsidRPr="00743430" w:rsidRDefault="00C028B4" w:rsidP="00C028B4">
      <w:pPr>
        <w:spacing w:line="360" w:lineRule="auto"/>
        <w:contextualSpacing/>
        <w:jc w:val="center"/>
        <w:rPr>
          <w:shd w:val="clear" w:color="auto" w:fill="FFFFFF"/>
        </w:rPr>
      </w:pPr>
      <w:r>
        <w:rPr>
          <w:noProof/>
          <w:shd w:val="clear" w:color="auto" w:fill="FFFFFF"/>
          <w14:ligatures w14:val="standardContextual"/>
        </w:rPr>
        <w:lastRenderedPageBreak/>
        <w:drawing>
          <wp:inline distT="0" distB="0" distL="0" distR="0" wp14:anchorId="003A3E58" wp14:editId="557653A4">
            <wp:extent cx="5564553" cy="6132352"/>
            <wp:effectExtent l="0" t="0" r="0" b="1905"/>
            <wp:docPr id="1150706081" name="Picture 1" descr="A group of graphs showing different types of dru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06081" name="Picture 1" descr="A group of graphs showing different types of drug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096" cy="616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0392" w14:textId="56ABC9CE" w:rsidR="00C028B4" w:rsidRDefault="00C028B4" w:rsidP="00C028B4">
      <w:pPr>
        <w:spacing w:line="360" w:lineRule="auto"/>
        <w:contextualSpacing/>
      </w:pPr>
      <w:r w:rsidRPr="00743430">
        <w:t xml:space="preserve">Figure </w:t>
      </w:r>
      <w:r w:rsidR="00B803EF">
        <w:rPr>
          <w:lang w:eastAsia="zh-CN"/>
        </w:rPr>
        <w:t>4</w:t>
      </w:r>
      <w:r>
        <w:t>.</w:t>
      </w:r>
      <w:r w:rsidRPr="00743430">
        <w:t xml:space="preserve"> Relative survival (% RS – • – left axis</w:t>
      </w:r>
      <w:r>
        <w:t>, blue</w:t>
      </w:r>
      <w:r w:rsidRPr="00743430">
        <w:t>), apoptosis (% apoptotic – ▲ – left axis</w:t>
      </w:r>
      <w:r>
        <w:t>, green</w:t>
      </w:r>
      <w:r w:rsidRPr="00743430">
        <w:t>) and MN frequency (% micronuclei – ▪ – right axis</w:t>
      </w:r>
      <w:r>
        <w:t>, red</w:t>
      </w:r>
      <w:r w:rsidRPr="00743430">
        <w:t>) in human TK6 cells (n </w:t>
      </w:r>
      <w:r>
        <w:t>= 3) following exposure to</w:t>
      </w:r>
      <w:r w:rsidRPr="00743430">
        <w:t xml:space="preserve"> </w:t>
      </w:r>
      <w:r>
        <w:rPr>
          <w:rFonts w:hint="eastAsia"/>
          <w:lang w:eastAsia="zh-CN"/>
        </w:rPr>
        <w:t>various concentrations of six genotoxic agents</w:t>
      </w:r>
      <w:r w:rsidRPr="00743430">
        <w:t>. Figure replicated from Yauk et al</w:t>
      </w:r>
      <w:r>
        <w:t>.</w:t>
      </w:r>
      <w:r w:rsidRPr="00743430">
        <w:t xml:space="preserve"> </w:t>
      </w:r>
      <w:r>
        <w:t>(2016).</w:t>
      </w:r>
    </w:p>
    <w:p w14:paraId="36EBF76B" w14:textId="77777777" w:rsidR="00C028B4" w:rsidRDefault="00C028B4" w:rsidP="00C028B4">
      <w:pPr>
        <w:widowControl w:val="0"/>
        <w:autoSpaceDE w:val="0"/>
        <w:autoSpaceDN w:val="0"/>
        <w:adjustRightInd w:val="0"/>
        <w:spacing w:after="240" w:line="360" w:lineRule="auto"/>
        <w:ind w:firstLine="720"/>
        <w:contextualSpacing/>
      </w:pPr>
    </w:p>
    <w:p w14:paraId="00739A66" w14:textId="329A6D9C" w:rsidR="0087643F" w:rsidRDefault="0087643F" w:rsidP="0085511E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lang w:val="en-CA"/>
        </w:rPr>
      </w:pPr>
      <w:r>
        <w:rPr>
          <w:noProof/>
          <w:lang w:val="en-CA"/>
          <w14:ligatures w14:val="standardContextual"/>
        </w:rPr>
        <w:lastRenderedPageBreak/>
        <w:drawing>
          <wp:inline distT="0" distB="0" distL="0" distR="0" wp14:anchorId="36C79675" wp14:editId="68956BD3">
            <wp:extent cx="5731510" cy="5731510"/>
            <wp:effectExtent l="0" t="0" r="0" b="0"/>
            <wp:docPr id="292517861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17861" name="Picture 2" descr="A screenshot of a computer scre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F951" w14:textId="07BE4BFD" w:rsidR="0087643F" w:rsidRDefault="0087643F" w:rsidP="0087643F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lang w:val="en-CA"/>
        </w:rPr>
      </w:pPr>
      <w:r w:rsidRPr="00743430">
        <w:rPr>
          <w:lang w:val="en-CA"/>
        </w:rPr>
        <w:t xml:space="preserve">Figure </w:t>
      </w:r>
      <w:r w:rsidR="00AD2C11">
        <w:rPr>
          <w:lang w:val="en-CA"/>
        </w:rPr>
        <w:t>5</w:t>
      </w:r>
      <w:r>
        <w:rPr>
          <w:lang w:val="en-CA"/>
        </w:rPr>
        <w:t>.</w:t>
      </w:r>
      <w:r w:rsidRPr="00743430">
        <w:rPr>
          <w:lang w:val="en-CA"/>
        </w:rPr>
        <w:t xml:space="preserve"> Relationship between</w:t>
      </w:r>
      <w:r>
        <w:rPr>
          <w:lang w:val="en-CA"/>
        </w:rPr>
        <w:t xml:space="preserve"> DNA strand breaks and apoptosis in rodent spermatogonia and spermatocytes. The </w:t>
      </w:r>
      <w:r w:rsidRPr="00A772CC">
        <w:rPr>
          <w:lang w:val="en-CA"/>
        </w:rPr>
        <w:t xml:space="preserve">% tail DNA and </w:t>
      </w:r>
      <w:r>
        <w:rPr>
          <w:lang w:val="en-CA"/>
        </w:rPr>
        <w:t xml:space="preserve">% </w:t>
      </w:r>
      <w:r w:rsidRPr="00A772CC">
        <w:rPr>
          <w:lang w:val="en-CA"/>
        </w:rPr>
        <w:t>apoptotic cells</w:t>
      </w:r>
      <w:r>
        <w:rPr>
          <w:lang w:val="en-CA"/>
        </w:rPr>
        <w:t xml:space="preserve"> in spermatogonia (left column) and spermatocytes (right column)</w:t>
      </w:r>
      <w:r w:rsidRPr="00A772CC">
        <w:rPr>
          <w:lang w:val="en-CA"/>
        </w:rPr>
        <w:t xml:space="preserve"> </w:t>
      </w:r>
      <w:r>
        <w:rPr>
          <w:lang w:val="en-CA"/>
        </w:rPr>
        <w:t xml:space="preserve">were quantified in </w:t>
      </w:r>
      <w:r w:rsidRPr="00A772CC">
        <w:rPr>
          <w:lang w:val="en-CA"/>
        </w:rPr>
        <w:t>adult male NMRI</w:t>
      </w:r>
      <w:r>
        <w:rPr>
          <w:lang w:val="en-CA"/>
        </w:rPr>
        <w:t xml:space="preserve"> mice (A-B) or </w:t>
      </w:r>
      <w:r w:rsidRPr="00743430">
        <w:rPr>
          <w:lang w:val="en-CA"/>
        </w:rPr>
        <w:t>Sprague-Dawley rat</w:t>
      </w:r>
      <w:r>
        <w:rPr>
          <w:lang w:val="en-CA"/>
        </w:rPr>
        <w:t xml:space="preserve">s (C-F) following exposure to </w:t>
      </w:r>
      <w:r w:rsidRPr="00247043">
        <w:rPr>
          <w:lang w:val="en-CA"/>
        </w:rPr>
        <w:t>50</w:t>
      </w:r>
      <w:r>
        <w:rPr>
          <w:lang w:val="en-CA"/>
        </w:rPr>
        <w:t>-</w:t>
      </w:r>
      <w:r w:rsidRPr="00247043">
        <w:rPr>
          <w:lang w:val="en-CA"/>
        </w:rPr>
        <w:t xml:space="preserve">1000 μM </w:t>
      </w:r>
      <w:r w:rsidRPr="00743430">
        <w:rPr>
          <w:lang w:val="en-CA"/>
        </w:rPr>
        <w:t>Dox</w:t>
      </w:r>
      <w:r>
        <w:rPr>
          <w:lang w:val="en-CA"/>
        </w:rPr>
        <w:t xml:space="preserve"> (A-B), </w:t>
      </w:r>
      <w:r w:rsidRPr="00743430">
        <w:rPr>
          <w:lang w:val="en-CA"/>
        </w:rPr>
        <w:t>ENU</w:t>
      </w:r>
      <w:r>
        <w:rPr>
          <w:lang w:val="en-CA"/>
        </w:rPr>
        <w:t xml:space="preserve"> (C-D), or </w:t>
      </w:r>
      <w:r w:rsidRPr="00743430">
        <w:rPr>
          <w:lang w:val="en-CA"/>
        </w:rPr>
        <w:t>MNU</w:t>
      </w:r>
      <w:r>
        <w:rPr>
          <w:lang w:val="en-CA"/>
        </w:rPr>
        <w:t xml:space="preserve"> (E-F). </w:t>
      </w:r>
      <w:r w:rsidRPr="00247043">
        <w:rPr>
          <w:lang w:val="en-CA"/>
        </w:rPr>
        <w:t>DNA strand breaks were assessed using the alkaline comet assay, and apoptosis was quantified using the TUNEL assay.</w:t>
      </w:r>
      <w:r w:rsidRPr="00A772CC">
        <w:t xml:space="preserve"> </w:t>
      </w:r>
      <w:r w:rsidR="009B4CD3">
        <w:t xml:space="preserve">Figure </w:t>
      </w:r>
      <w:r w:rsidR="009B4CD3">
        <w:rPr>
          <w:rFonts w:hint="eastAsia"/>
          <w:color w:val="000000" w:themeColor="text1"/>
          <w:lang w:val="en-CA" w:eastAsia="zh-CN"/>
        </w:rPr>
        <w:t xml:space="preserve">created using data </w:t>
      </w:r>
      <w:r>
        <w:t>retrieved from Habas et al. (2017).</w:t>
      </w:r>
    </w:p>
    <w:p w14:paraId="6E590201" w14:textId="77777777" w:rsidR="00EA1A4B" w:rsidRDefault="00EA1A4B" w:rsidP="00105059">
      <w:pPr>
        <w:contextualSpacing/>
      </w:pPr>
    </w:p>
    <w:sectPr w:rsidR="00EA1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D6937"/>
    <w:multiLevelType w:val="multilevel"/>
    <w:tmpl w:val="400A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F6582B"/>
    <w:multiLevelType w:val="hybridMultilevel"/>
    <w:tmpl w:val="7C2054D8"/>
    <w:lvl w:ilvl="0" w:tplc="6DCE00A8">
      <w:start w:val="1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010326">
    <w:abstractNumId w:val="0"/>
  </w:num>
  <w:num w:numId="2" w16cid:durableId="1583219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DF"/>
    <w:rsid w:val="00003EE6"/>
    <w:rsid w:val="00004462"/>
    <w:rsid w:val="00004B9A"/>
    <w:rsid w:val="000062C9"/>
    <w:rsid w:val="000069EB"/>
    <w:rsid w:val="00012B49"/>
    <w:rsid w:val="00014402"/>
    <w:rsid w:val="00016349"/>
    <w:rsid w:val="00022954"/>
    <w:rsid w:val="00025838"/>
    <w:rsid w:val="000279DB"/>
    <w:rsid w:val="00027C44"/>
    <w:rsid w:val="00033F8F"/>
    <w:rsid w:val="000346F8"/>
    <w:rsid w:val="00036FD7"/>
    <w:rsid w:val="00043A31"/>
    <w:rsid w:val="00045785"/>
    <w:rsid w:val="000476C5"/>
    <w:rsid w:val="00051D86"/>
    <w:rsid w:val="0005270D"/>
    <w:rsid w:val="00053C35"/>
    <w:rsid w:val="00055DF6"/>
    <w:rsid w:val="00056684"/>
    <w:rsid w:val="00057A84"/>
    <w:rsid w:val="000602C4"/>
    <w:rsid w:val="0006036E"/>
    <w:rsid w:val="00061F53"/>
    <w:rsid w:val="000730B1"/>
    <w:rsid w:val="000802C8"/>
    <w:rsid w:val="00084510"/>
    <w:rsid w:val="00086661"/>
    <w:rsid w:val="0008724C"/>
    <w:rsid w:val="00091E00"/>
    <w:rsid w:val="0009215A"/>
    <w:rsid w:val="000970AC"/>
    <w:rsid w:val="000A2BFE"/>
    <w:rsid w:val="000A56F4"/>
    <w:rsid w:val="000A79E6"/>
    <w:rsid w:val="000A7E3B"/>
    <w:rsid w:val="000B17F5"/>
    <w:rsid w:val="000B4ACB"/>
    <w:rsid w:val="000B52BC"/>
    <w:rsid w:val="000C0769"/>
    <w:rsid w:val="000C524A"/>
    <w:rsid w:val="000C640E"/>
    <w:rsid w:val="000C6CE0"/>
    <w:rsid w:val="000D67DE"/>
    <w:rsid w:val="000E1748"/>
    <w:rsid w:val="000E1AA4"/>
    <w:rsid w:val="000F1B71"/>
    <w:rsid w:val="000F23B1"/>
    <w:rsid w:val="000F3AFE"/>
    <w:rsid w:val="000F3BCE"/>
    <w:rsid w:val="000F7A65"/>
    <w:rsid w:val="001009C0"/>
    <w:rsid w:val="001012CE"/>
    <w:rsid w:val="00102889"/>
    <w:rsid w:val="00104BE2"/>
    <w:rsid w:val="00105059"/>
    <w:rsid w:val="0010551E"/>
    <w:rsid w:val="00111AAF"/>
    <w:rsid w:val="00115249"/>
    <w:rsid w:val="001153FB"/>
    <w:rsid w:val="00120863"/>
    <w:rsid w:val="00123F18"/>
    <w:rsid w:val="00125433"/>
    <w:rsid w:val="0012546A"/>
    <w:rsid w:val="00130395"/>
    <w:rsid w:val="00135355"/>
    <w:rsid w:val="001372A9"/>
    <w:rsid w:val="001443A0"/>
    <w:rsid w:val="00144C01"/>
    <w:rsid w:val="00146420"/>
    <w:rsid w:val="001513A1"/>
    <w:rsid w:val="00152C3C"/>
    <w:rsid w:val="00156F38"/>
    <w:rsid w:val="00166C94"/>
    <w:rsid w:val="00172533"/>
    <w:rsid w:val="001771AD"/>
    <w:rsid w:val="00180DE0"/>
    <w:rsid w:val="00180F95"/>
    <w:rsid w:val="001854DA"/>
    <w:rsid w:val="001859F9"/>
    <w:rsid w:val="001869FE"/>
    <w:rsid w:val="001912B0"/>
    <w:rsid w:val="00191722"/>
    <w:rsid w:val="00194F11"/>
    <w:rsid w:val="001A1273"/>
    <w:rsid w:val="001A26E4"/>
    <w:rsid w:val="001A662A"/>
    <w:rsid w:val="001A70FC"/>
    <w:rsid w:val="001A787E"/>
    <w:rsid w:val="001B061E"/>
    <w:rsid w:val="001B1A4F"/>
    <w:rsid w:val="001B5AAF"/>
    <w:rsid w:val="001C23C2"/>
    <w:rsid w:val="001C3189"/>
    <w:rsid w:val="001C44F2"/>
    <w:rsid w:val="001C776D"/>
    <w:rsid w:val="001D530C"/>
    <w:rsid w:val="001D675E"/>
    <w:rsid w:val="001F3E1D"/>
    <w:rsid w:val="00201179"/>
    <w:rsid w:val="00206322"/>
    <w:rsid w:val="002077F5"/>
    <w:rsid w:val="0021138B"/>
    <w:rsid w:val="002220A7"/>
    <w:rsid w:val="00225902"/>
    <w:rsid w:val="0022638B"/>
    <w:rsid w:val="00230BA7"/>
    <w:rsid w:val="0023330B"/>
    <w:rsid w:val="00235064"/>
    <w:rsid w:val="002356FF"/>
    <w:rsid w:val="00237970"/>
    <w:rsid w:val="00247043"/>
    <w:rsid w:val="00247148"/>
    <w:rsid w:val="0025074F"/>
    <w:rsid w:val="00250785"/>
    <w:rsid w:val="0025537B"/>
    <w:rsid w:val="00255AD6"/>
    <w:rsid w:val="0027002F"/>
    <w:rsid w:val="002824DB"/>
    <w:rsid w:val="002838DE"/>
    <w:rsid w:val="0028583D"/>
    <w:rsid w:val="002861A3"/>
    <w:rsid w:val="00286FD1"/>
    <w:rsid w:val="00291DB8"/>
    <w:rsid w:val="002971D1"/>
    <w:rsid w:val="002975CD"/>
    <w:rsid w:val="002A78A4"/>
    <w:rsid w:val="002B6484"/>
    <w:rsid w:val="002B6D76"/>
    <w:rsid w:val="002B73DF"/>
    <w:rsid w:val="002C24EA"/>
    <w:rsid w:val="002C48C1"/>
    <w:rsid w:val="002C4F91"/>
    <w:rsid w:val="002D56F8"/>
    <w:rsid w:val="002D580D"/>
    <w:rsid w:val="002D6B2C"/>
    <w:rsid w:val="002E192D"/>
    <w:rsid w:val="002E4985"/>
    <w:rsid w:val="002E610E"/>
    <w:rsid w:val="002F1EA5"/>
    <w:rsid w:val="002F3E75"/>
    <w:rsid w:val="003022CE"/>
    <w:rsid w:val="00302629"/>
    <w:rsid w:val="00306993"/>
    <w:rsid w:val="00310804"/>
    <w:rsid w:val="00312DD5"/>
    <w:rsid w:val="00317784"/>
    <w:rsid w:val="0032017D"/>
    <w:rsid w:val="00320B1C"/>
    <w:rsid w:val="00322975"/>
    <w:rsid w:val="00326A86"/>
    <w:rsid w:val="00342BCD"/>
    <w:rsid w:val="00343D88"/>
    <w:rsid w:val="0034455C"/>
    <w:rsid w:val="003445A6"/>
    <w:rsid w:val="0034638F"/>
    <w:rsid w:val="003468D6"/>
    <w:rsid w:val="00347088"/>
    <w:rsid w:val="00355BF5"/>
    <w:rsid w:val="00356E1E"/>
    <w:rsid w:val="003570CC"/>
    <w:rsid w:val="0036020A"/>
    <w:rsid w:val="0037366E"/>
    <w:rsid w:val="00373814"/>
    <w:rsid w:val="00380087"/>
    <w:rsid w:val="00380CAA"/>
    <w:rsid w:val="003862E5"/>
    <w:rsid w:val="00391DD4"/>
    <w:rsid w:val="003A7394"/>
    <w:rsid w:val="003B123A"/>
    <w:rsid w:val="003B318E"/>
    <w:rsid w:val="003B4853"/>
    <w:rsid w:val="003B7180"/>
    <w:rsid w:val="003B7B0F"/>
    <w:rsid w:val="003C3EDC"/>
    <w:rsid w:val="003C5D7A"/>
    <w:rsid w:val="003C7953"/>
    <w:rsid w:val="003D0FF1"/>
    <w:rsid w:val="003D17B5"/>
    <w:rsid w:val="003D2097"/>
    <w:rsid w:val="003D290D"/>
    <w:rsid w:val="003D2BC2"/>
    <w:rsid w:val="003D4FFB"/>
    <w:rsid w:val="003E0378"/>
    <w:rsid w:val="003E0715"/>
    <w:rsid w:val="003E1309"/>
    <w:rsid w:val="003F10E1"/>
    <w:rsid w:val="003F15B0"/>
    <w:rsid w:val="003F7248"/>
    <w:rsid w:val="003F7E53"/>
    <w:rsid w:val="00404E6F"/>
    <w:rsid w:val="00405CA4"/>
    <w:rsid w:val="00406AC8"/>
    <w:rsid w:val="0040710D"/>
    <w:rsid w:val="0041443D"/>
    <w:rsid w:val="0041735F"/>
    <w:rsid w:val="00422F27"/>
    <w:rsid w:val="00425793"/>
    <w:rsid w:val="00431D80"/>
    <w:rsid w:val="00432B3F"/>
    <w:rsid w:val="00434886"/>
    <w:rsid w:val="00435891"/>
    <w:rsid w:val="00435A0A"/>
    <w:rsid w:val="00441E25"/>
    <w:rsid w:val="00445F4B"/>
    <w:rsid w:val="00446644"/>
    <w:rsid w:val="0044706E"/>
    <w:rsid w:val="004550C4"/>
    <w:rsid w:val="004722F1"/>
    <w:rsid w:val="00472FA3"/>
    <w:rsid w:val="004779D8"/>
    <w:rsid w:val="00483997"/>
    <w:rsid w:val="00485B4C"/>
    <w:rsid w:val="004879C6"/>
    <w:rsid w:val="00492F82"/>
    <w:rsid w:val="00493C55"/>
    <w:rsid w:val="004A0C6E"/>
    <w:rsid w:val="004A6C2E"/>
    <w:rsid w:val="004B01AF"/>
    <w:rsid w:val="004B081A"/>
    <w:rsid w:val="004B1BED"/>
    <w:rsid w:val="004B4D4D"/>
    <w:rsid w:val="004B5DB9"/>
    <w:rsid w:val="004C04FA"/>
    <w:rsid w:val="004D0E46"/>
    <w:rsid w:val="004D361B"/>
    <w:rsid w:val="004D5A54"/>
    <w:rsid w:val="004D7F72"/>
    <w:rsid w:val="004E1E27"/>
    <w:rsid w:val="004E2A2B"/>
    <w:rsid w:val="004F056E"/>
    <w:rsid w:val="004F11A8"/>
    <w:rsid w:val="004F4AC9"/>
    <w:rsid w:val="00506386"/>
    <w:rsid w:val="00506775"/>
    <w:rsid w:val="00507379"/>
    <w:rsid w:val="005101FD"/>
    <w:rsid w:val="00511858"/>
    <w:rsid w:val="00514F70"/>
    <w:rsid w:val="00515C74"/>
    <w:rsid w:val="00516C41"/>
    <w:rsid w:val="00517E4F"/>
    <w:rsid w:val="00520951"/>
    <w:rsid w:val="00520FA4"/>
    <w:rsid w:val="00521F07"/>
    <w:rsid w:val="00522890"/>
    <w:rsid w:val="00522970"/>
    <w:rsid w:val="0053125C"/>
    <w:rsid w:val="005317BE"/>
    <w:rsid w:val="005325ED"/>
    <w:rsid w:val="00532E20"/>
    <w:rsid w:val="00534C80"/>
    <w:rsid w:val="00536421"/>
    <w:rsid w:val="005379CD"/>
    <w:rsid w:val="00537BC5"/>
    <w:rsid w:val="0054298D"/>
    <w:rsid w:val="005434C8"/>
    <w:rsid w:val="00551745"/>
    <w:rsid w:val="00556B53"/>
    <w:rsid w:val="0056124C"/>
    <w:rsid w:val="00561709"/>
    <w:rsid w:val="00564693"/>
    <w:rsid w:val="005655AB"/>
    <w:rsid w:val="00571731"/>
    <w:rsid w:val="005732E2"/>
    <w:rsid w:val="00573A13"/>
    <w:rsid w:val="00580138"/>
    <w:rsid w:val="0058266B"/>
    <w:rsid w:val="005831AF"/>
    <w:rsid w:val="00583C8F"/>
    <w:rsid w:val="00584F78"/>
    <w:rsid w:val="00585CE5"/>
    <w:rsid w:val="005907F4"/>
    <w:rsid w:val="00590804"/>
    <w:rsid w:val="0059121F"/>
    <w:rsid w:val="0059267B"/>
    <w:rsid w:val="0059536F"/>
    <w:rsid w:val="005A1206"/>
    <w:rsid w:val="005A4772"/>
    <w:rsid w:val="005A55F6"/>
    <w:rsid w:val="005A5BFF"/>
    <w:rsid w:val="005B1024"/>
    <w:rsid w:val="005B29C0"/>
    <w:rsid w:val="005C0ADB"/>
    <w:rsid w:val="005C0C02"/>
    <w:rsid w:val="005C30F9"/>
    <w:rsid w:val="005C38A4"/>
    <w:rsid w:val="005C38AF"/>
    <w:rsid w:val="005D080C"/>
    <w:rsid w:val="005D7EDB"/>
    <w:rsid w:val="005E43D5"/>
    <w:rsid w:val="005E47BB"/>
    <w:rsid w:val="005E74B8"/>
    <w:rsid w:val="005E793D"/>
    <w:rsid w:val="00606874"/>
    <w:rsid w:val="006150E9"/>
    <w:rsid w:val="0061611D"/>
    <w:rsid w:val="00620A4B"/>
    <w:rsid w:val="006211AA"/>
    <w:rsid w:val="00623FF3"/>
    <w:rsid w:val="006307B8"/>
    <w:rsid w:val="00632B71"/>
    <w:rsid w:val="006337BE"/>
    <w:rsid w:val="00634B69"/>
    <w:rsid w:val="00634FA2"/>
    <w:rsid w:val="0064748D"/>
    <w:rsid w:val="0065353F"/>
    <w:rsid w:val="00654F27"/>
    <w:rsid w:val="006550EE"/>
    <w:rsid w:val="006558F7"/>
    <w:rsid w:val="006563DC"/>
    <w:rsid w:val="00656BCF"/>
    <w:rsid w:val="00660AC4"/>
    <w:rsid w:val="00660B04"/>
    <w:rsid w:val="00667F0D"/>
    <w:rsid w:val="00672A9B"/>
    <w:rsid w:val="00672C59"/>
    <w:rsid w:val="0067411B"/>
    <w:rsid w:val="00675CA4"/>
    <w:rsid w:val="00676B1B"/>
    <w:rsid w:val="00677583"/>
    <w:rsid w:val="00682586"/>
    <w:rsid w:val="00683910"/>
    <w:rsid w:val="00683DA9"/>
    <w:rsid w:val="00686B48"/>
    <w:rsid w:val="006944EB"/>
    <w:rsid w:val="00697160"/>
    <w:rsid w:val="006A1FBD"/>
    <w:rsid w:val="006A20CF"/>
    <w:rsid w:val="006A5E04"/>
    <w:rsid w:val="006B2D6B"/>
    <w:rsid w:val="006B3664"/>
    <w:rsid w:val="006B3AC2"/>
    <w:rsid w:val="006B72A3"/>
    <w:rsid w:val="006C07E3"/>
    <w:rsid w:val="006C2A0F"/>
    <w:rsid w:val="006C7E51"/>
    <w:rsid w:val="006D1B5D"/>
    <w:rsid w:val="006D6EE2"/>
    <w:rsid w:val="006E4645"/>
    <w:rsid w:val="006E6250"/>
    <w:rsid w:val="006E6CEB"/>
    <w:rsid w:val="006F439A"/>
    <w:rsid w:val="00700793"/>
    <w:rsid w:val="00701F81"/>
    <w:rsid w:val="0070260A"/>
    <w:rsid w:val="00702695"/>
    <w:rsid w:val="00703725"/>
    <w:rsid w:val="00707237"/>
    <w:rsid w:val="0071207E"/>
    <w:rsid w:val="007155D0"/>
    <w:rsid w:val="00723A53"/>
    <w:rsid w:val="00723FDB"/>
    <w:rsid w:val="007247FE"/>
    <w:rsid w:val="00725E1E"/>
    <w:rsid w:val="0073161C"/>
    <w:rsid w:val="00732ED2"/>
    <w:rsid w:val="00734D75"/>
    <w:rsid w:val="00737C0B"/>
    <w:rsid w:val="00740CB2"/>
    <w:rsid w:val="0074110C"/>
    <w:rsid w:val="007478B5"/>
    <w:rsid w:val="00750FF3"/>
    <w:rsid w:val="007553E1"/>
    <w:rsid w:val="00755E10"/>
    <w:rsid w:val="007623F0"/>
    <w:rsid w:val="0076243C"/>
    <w:rsid w:val="00765BD0"/>
    <w:rsid w:val="0076632C"/>
    <w:rsid w:val="00766446"/>
    <w:rsid w:val="0077146A"/>
    <w:rsid w:val="007778EC"/>
    <w:rsid w:val="0078322B"/>
    <w:rsid w:val="00785F04"/>
    <w:rsid w:val="00786B43"/>
    <w:rsid w:val="00790D8A"/>
    <w:rsid w:val="00795E1C"/>
    <w:rsid w:val="007A1E67"/>
    <w:rsid w:val="007A5A20"/>
    <w:rsid w:val="007A6F51"/>
    <w:rsid w:val="007A7FD6"/>
    <w:rsid w:val="007B536E"/>
    <w:rsid w:val="007B76EA"/>
    <w:rsid w:val="007C274A"/>
    <w:rsid w:val="007C30A1"/>
    <w:rsid w:val="007C46FC"/>
    <w:rsid w:val="007C7F20"/>
    <w:rsid w:val="007D45E3"/>
    <w:rsid w:val="007E64B0"/>
    <w:rsid w:val="00803665"/>
    <w:rsid w:val="00810E21"/>
    <w:rsid w:val="00812FC3"/>
    <w:rsid w:val="00814BA8"/>
    <w:rsid w:val="00814F6D"/>
    <w:rsid w:val="008155AC"/>
    <w:rsid w:val="00821573"/>
    <w:rsid w:val="00821F3B"/>
    <w:rsid w:val="00826140"/>
    <w:rsid w:val="008270EB"/>
    <w:rsid w:val="00830D3B"/>
    <w:rsid w:val="00832CCB"/>
    <w:rsid w:val="00836541"/>
    <w:rsid w:val="00836F9B"/>
    <w:rsid w:val="00841ABC"/>
    <w:rsid w:val="0084571E"/>
    <w:rsid w:val="008464A2"/>
    <w:rsid w:val="008518C0"/>
    <w:rsid w:val="00851B08"/>
    <w:rsid w:val="008541C1"/>
    <w:rsid w:val="0085511E"/>
    <w:rsid w:val="0085571E"/>
    <w:rsid w:val="00857A38"/>
    <w:rsid w:val="008678C7"/>
    <w:rsid w:val="00870F0B"/>
    <w:rsid w:val="0087314E"/>
    <w:rsid w:val="0087643F"/>
    <w:rsid w:val="00880678"/>
    <w:rsid w:val="0088071D"/>
    <w:rsid w:val="00881374"/>
    <w:rsid w:val="0088771D"/>
    <w:rsid w:val="00891C96"/>
    <w:rsid w:val="00895B2F"/>
    <w:rsid w:val="00896307"/>
    <w:rsid w:val="008969FC"/>
    <w:rsid w:val="00897807"/>
    <w:rsid w:val="008A0014"/>
    <w:rsid w:val="008A0B08"/>
    <w:rsid w:val="008A2568"/>
    <w:rsid w:val="008A6821"/>
    <w:rsid w:val="008A721F"/>
    <w:rsid w:val="008B1B65"/>
    <w:rsid w:val="008B2A01"/>
    <w:rsid w:val="008B4DA4"/>
    <w:rsid w:val="008B5764"/>
    <w:rsid w:val="008C1856"/>
    <w:rsid w:val="008C26A9"/>
    <w:rsid w:val="008C281F"/>
    <w:rsid w:val="008C73B4"/>
    <w:rsid w:val="008D0869"/>
    <w:rsid w:val="008D3826"/>
    <w:rsid w:val="008D39D6"/>
    <w:rsid w:val="008D496B"/>
    <w:rsid w:val="008D5857"/>
    <w:rsid w:val="008D6576"/>
    <w:rsid w:val="008D6622"/>
    <w:rsid w:val="008E58FA"/>
    <w:rsid w:val="008E5D58"/>
    <w:rsid w:val="008E73D3"/>
    <w:rsid w:val="008F71DA"/>
    <w:rsid w:val="00900A43"/>
    <w:rsid w:val="00900B58"/>
    <w:rsid w:val="009033C9"/>
    <w:rsid w:val="00906396"/>
    <w:rsid w:val="00910D8C"/>
    <w:rsid w:val="009118ED"/>
    <w:rsid w:val="00914A23"/>
    <w:rsid w:val="00916012"/>
    <w:rsid w:val="00922097"/>
    <w:rsid w:val="009277B2"/>
    <w:rsid w:val="0093335A"/>
    <w:rsid w:val="00941542"/>
    <w:rsid w:val="00942097"/>
    <w:rsid w:val="00944B40"/>
    <w:rsid w:val="00945197"/>
    <w:rsid w:val="00945215"/>
    <w:rsid w:val="00945917"/>
    <w:rsid w:val="00955858"/>
    <w:rsid w:val="00955A52"/>
    <w:rsid w:val="00957567"/>
    <w:rsid w:val="009647B4"/>
    <w:rsid w:val="009662EF"/>
    <w:rsid w:val="00970745"/>
    <w:rsid w:val="00972346"/>
    <w:rsid w:val="009764D0"/>
    <w:rsid w:val="00977BF6"/>
    <w:rsid w:val="00981E48"/>
    <w:rsid w:val="00984596"/>
    <w:rsid w:val="00985F8F"/>
    <w:rsid w:val="00986A5A"/>
    <w:rsid w:val="00994D13"/>
    <w:rsid w:val="009A465A"/>
    <w:rsid w:val="009A4E9E"/>
    <w:rsid w:val="009B4CD3"/>
    <w:rsid w:val="009B744C"/>
    <w:rsid w:val="009C2EF1"/>
    <w:rsid w:val="009C366E"/>
    <w:rsid w:val="009D3512"/>
    <w:rsid w:val="009D36B8"/>
    <w:rsid w:val="009F5E0B"/>
    <w:rsid w:val="00A00D51"/>
    <w:rsid w:val="00A024DB"/>
    <w:rsid w:val="00A13229"/>
    <w:rsid w:val="00A162BD"/>
    <w:rsid w:val="00A17329"/>
    <w:rsid w:val="00A20771"/>
    <w:rsid w:val="00A20CF6"/>
    <w:rsid w:val="00A25E19"/>
    <w:rsid w:val="00A3309C"/>
    <w:rsid w:val="00A34BF2"/>
    <w:rsid w:val="00A36219"/>
    <w:rsid w:val="00A3783C"/>
    <w:rsid w:val="00A462A0"/>
    <w:rsid w:val="00A473AF"/>
    <w:rsid w:val="00A4754A"/>
    <w:rsid w:val="00A47822"/>
    <w:rsid w:val="00A5074C"/>
    <w:rsid w:val="00A52F6D"/>
    <w:rsid w:val="00A53BE0"/>
    <w:rsid w:val="00A60644"/>
    <w:rsid w:val="00A6124B"/>
    <w:rsid w:val="00A61347"/>
    <w:rsid w:val="00A63ED0"/>
    <w:rsid w:val="00A64E5A"/>
    <w:rsid w:val="00A65DB9"/>
    <w:rsid w:val="00A66D33"/>
    <w:rsid w:val="00A6745E"/>
    <w:rsid w:val="00A772CC"/>
    <w:rsid w:val="00A86AFF"/>
    <w:rsid w:val="00A87445"/>
    <w:rsid w:val="00A876A6"/>
    <w:rsid w:val="00A901DB"/>
    <w:rsid w:val="00A9084F"/>
    <w:rsid w:val="00A9129C"/>
    <w:rsid w:val="00A949B9"/>
    <w:rsid w:val="00A96101"/>
    <w:rsid w:val="00AA1A5F"/>
    <w:rsid w:val="00AA2282"/>
    <w:rsid w:val="00AA74AB"/>
    <w:rsid w:val="00AA7698"/>
    <w:rsid w:val="00AB0A3A"/>
    <w:rsid w:val="00AB4FF8"/>
    <w:rsid w:val="00AB65A3"/>
    <w:rsid w:val="00AC0493"/>
    <w:rsid w:val="00AC4788"/>
    <w:rsid w:val="00AD04F3"/>
    <w:rsid w:val="00AD2197"/>
    <w:rsid w:val="00AD2C11"/>
    <w:rsid w:val="00AD3F4D"/>
    <w:rsid w:val="00AE09D4"/>
    <w:rsid w:val="00AE0C92"/>
    <w:rsid w:val="00AE16E8"/>
    <w:rsid w:val="00AE387C"/>
    <w:rsid w:val="00AE4388"/>
    <w:rsid w:val="00AF0A30"/>
    <w:rsid w:val="00AF3A1B"/>
    <w:rsid w:val="00AF4CF7"/>
    <w:rsid w:val="00AF6670"/>
    <w:rsid w:val="00B010F4"/>
    <w:rsid w:val="00B01BC9"/>
    <w:rsid w:val="00B02B67"/>
    <w:rsid w:val="00B05406"/>
    <w:rsid w:val="00B06F1D"/>
    <w:rsid w:val="00B12E83"/>
    <w:rsid w:val="00B17327"/>
    <w:rsid w:val="00B2457C"/>
    <w:rsid w:val="00B2586E"/>
    <w:rsid w:val="00B349DF"/>
    <w:rsid w:val="00B352C5"/>
    <w:rsid w:val="00B35D5B"/>
    <w:rsid w:val="00B401C6"/>
    <w:rsid w:val="00B459C0"/>
    <w:rsid w:val="00B529CB"/>
    <w:rsid w:val="00B614C3"/>
    <w:rsid w:val="00B6174F"/>
    <w:rsid w:val="00B6430D"/>
    <w:rsid w:val="00B722BC"/>
    <w:rsid w:val="00B74180"/>
    <w:rsid w:val="00B803EF"/>
    <w:rsid w:val="00B863DB"/>
    <w:rsid w:val="00BA0108"/>
    <w:rsid w:val="00BA159F"/>
    <w:rsid w:val="00BA7116"/>
    <w:rsid w:val="00BB0983"/>
    <w:rsid w:val="00BB111E"/>
    <w:rsid w:val="00BB734C"/>
    <w:rsid w:val="00BC6095"/>
    <w:rsid w:val="00BC7A55"/>
    <w:rsid w:val="00BD3179"/>
    <w:rsid w:val="00BD4843"/>
    <w:rsid w:val="00BD7706"/>
    <w:rsid w:val="00BE2DE2"/>
    <w:rsid w:val="00BE6135"/>
    <w:rsid w:val="00BF0165"/>
    <w:rsid w:val="00BF34EA"/>
    <w:rsid w:val="00BF6308"/>
    <w:rsid w:val="00BF66C2"/>
    <w:rsid w:val="00BF68C1"/>
    <w:rsid w:val="00C028B4"/>
    <w:rsid w:val="00C0604D"/>
    <w:rsid w:val="00C07FA4"/>
    <w:rsid w:val="00C13B6E"/>
    <w:rsid w:val="00C17FBE"/>
    <w:rsid w:val="00C20A51"/>
    <w:rsid w:val="00C21648"/>
    <w:rsid w:val="00C22A76"/>
    <w:rsid w:val="00C3146F"/>
    <w:rsid w:val="00C40867"/>
    <w:rsid w:val="00C43CBC"/>
    <w:rsid w:val="00C43D79"/>
    <w:rsid w:val="00C51238"/>
    <w:rsid w:val="00C52C07"/>
    <w:rsid w:val="00C53361"/>
    <w:rsid w:val="00C537AD"/>
    <w:rsid w:val="00C60B58"/>
    <w:rsid w:val="00C713B7"/>
    <w:rsid w:val="00C71702"/>
    <w:rsid w:val="00C728C0"/>
    <w:rsid w:val="00C734F2"/>
    <w:rsid w:val="00C73BF6"/>
    <w:rsid w:val="00C804D4"/>
    <w:rsid w:val="00C87FEF"/>
    <w:rsid w:val="00C9111B"/>
    <w:rsid w:val="00C94047"/>
    <w:rsid w:val="00CA2E6E"/>
    <w:rsid w:val="00CA3779"/>
    <w:rsid w:val="00CA4561"/>
    <w:rsid w:val="00CA5843"/>
    <w:rsid w:val="00CB2261"/>
    <w:rsid w:val="00CB6056"/>
    <w:rsid w:val="00CB626A"/>
    <w:rsid w:val="00CB72E9"/>
    <w:rsid w:val="00CC0886"/>
    <w:rsid w:val="00CC0F0A"/>
    <w:rsid w:val="00CC17C9"/>
    <w:rsid w:val="00CC349A"/>
    <w:rsid w:val="00CD6178"/>
    <w:rsid w:val="00CD7C55"/>
    <w:rsid w:val="00CD7CDD"/>
    <w:rsid w:val="00CE0D8C"/>
    <w:rsid w:val="00CE5011"/>
    <w:rsid w:val="00CE7859"/>
    <w:rsid w:val="00CE798D"/>
    <w:rsid w:val="00CE7EC0"/>
    <w:rsid w:val="00CF3698"/>
    <w:rsid w:val="00CF496F"/>
    <w:rsid w:val="00CF65F7"/>
    <w:rsid w:val="00D013F7"/>
    <w:rsid w:val="00D055C3"/>
    <w:rsid w:val="00D11B78"/>
    <w:rsid w:val="00D12D70"/>
    <w:rsid w:val="00D12EF8"/>
    <w:rsid w:val="00D16F72"/>
    <w:rsid w:val="00D17D53"/>
    <w:rsid w:val="00D21B97"/>
    <w:rsid w:val="00D228FD"/>
    <w:rsid w:val="00D238EB"/>
    <w:rsid w:val="00D24C0A"/>
    <w:rsid w:val="00D24FFE"/>
    <w:rsid w:val="00D271D1"/>
    <w:rsid w:val="00D4058D"/>
    <w:rsid w:val="00D46A5A"/>
    <w:rsid w:val="00D521BF"/>
    <w:rsid w:val="00D52EDE"/>
    <w:rsid w:val="00D55893"/>
    <w:rsid w:val="00D5640B"/>
    <w:rsid w:val="00D6053F"/>
    <w:rsid w:val="00D62DC6"/>
    <w:rsid w:val="00D712B5"/>
    <w:rsid w:val="00D72038"/>
    <w:rsid w:val="00D74410"/>
    <w:rsid w:val="00D7488E"/>
    <w:rsid w:val="00D749AE"/>
    <w:rsid w:val="00D74B1A"/>
    <w:rsid w:val="00D7514E"/>
    <w:rsid w:val="00D769A8"/>
    <w:rsid w:val="00D8005E"/>
    <w:rsid w:val="00D810F3"/>
    <w:rsid w:val="00D82A6F"/>
    <w:rsid w:val="00D868C3"/>
    <w:rsid w:val="00D91BF8"/>
    <w:rsid w:val="00D93B42"/>
    <w:rsid w:val="00D94C3C"/>
    <w:rsid w:val="00D955C0"/>
    <w:rsid w:val="00DA2FD3"/>
    <w:rsid w:val="00DA41FA"/>
    <w:rsid w:val="00DA7048"/>
    <w:rsid w:val="00DA7B40"/>
    <w:rsid w:val="00DB171D"/>
    <w:rsid w:val="00DB297E"/>
    <w:rsid w:val="00DB3D9A"/>
    <w:rsid w:val="00DB739A"/>
    <w:rsid w:val="00DC2EDC"/>
    <w:rsid w:val="00DC4D09"/>
    <w:rsid w:val="00DC6628"/>
    <w:rsid w:val="00DC692A"/>
    <w:rsid w:val="00DC7704"/>
    <w:rsid w:val="00DC7995"/>
    <w:rsid w:val="00DD2C7A"/>
    <w:rsid w:val="00DD2DA2"/>
    <w:rsid w:val="00DD3DE8"/>
    <w:rsid w:val="00DD40E1"/>
    <w:rsid w:val="00DD4E90"/>
    <w:rsid w:val="00DE1C36"/>
    <w:rsid w:val="00DF0C9F"/>
    <w:rsid w:val="00DF4265"/>
    <w:rsid w:val="00DF7DAE"/>
    <w:rsid w:val="00E00FF9"/>
    <w:rsid w:val="00E03FDA"/>
    <w:rsid w:val="00E04E1E"/>
    <w:rsid w:val="00E07472"/>
    <w:rsid w:val="00E1485F"/>
    <w:rsid w:val="00E15052"/>
    <w:rsid w:val="00E16106"/>
    <w:rsid w:val="00E219D8"/>
    <w:rsid w:val="00E25EBC"/>
    <w:rsid w:val="00E317DC"/>
    <w:rsid w:val="00E31E5B"/>
    <w:rsid w:val="00E32409"/>
    <w:rsid w:val="00E41F06"/>
    <w:rsid w:val="00E447E5"/>
    <w:rsid w:val="00E50F6D"/>
    <w:rsid w:val="00E54A9D"/>
    <w:rsid w:val="00E553A9"/>
    <w:rsid w:val="00E55974"/>
    <w:rsid w:val="00E5721F"/>
    <w:rsid w:val="00E61E75"/>
    <w:rsid w:val="00E64752"/>
    <w:rsid w:val="00E64D13"/>
    <w:rsid w:val="00E659D7"/>
    <w:rsid w:val="00E65B48"/>
    <w:rsid w:val="00E70E2E"/>
    <w:rsid w:val="00E71A4D"/>
    <w:rsid w:val="00E71EDF"/>
    <w:rsid w:val="00E74593"/>
    <w:rsid w:val="00E81F48"/>
    <w:rsid w:val="00E845AD"/>
    <w:rsid w:val="00E927D9"/>
    <w:rsid w:val="00E97FDE"/>
    <w:rsid w:val="00EA187C"/>
    <w:rsid w:val="00EA1A4B"/>
    <w:rsid w:val="00EB1861"/>
    <w:rsid w:val="00EB61EC"/>
    <w:rsid w:val="00EC0E93"/>
    <w:rsid w:val="00ED2D6C"/>
    <w:rsid w:val="00ED3F59"/>
    <w:rsid w:val="00ED54B4"/>
    <w:rsid w:val="00ED5F97"/>
    <w:rsid w:val="00ED6A81"/>
    <w:rsid w:val="00EE3CD5"/>
    <w:rsid w:val="00EE41C7"/>
    <w:rsid w:val="00EE433D"/>
    <w:rsid w:val="00EE4BAB"/>
    <w:rsid w:val="00EF10CA"/>
    <w:rsid w:val="00EF1C9B"/>
    <w:rsid w:val="00EF2520"/>
    <w:rsid w:val="00EF7924"/>
    <w:rsid w:val="00EF7A0F"/>
    <w:rsid w:val="00F01324"/>
    <w:rsid w:val="00F01A63"/>
    <w:rsid w:val="00F06D2E"/>
    <w:rsid w:val="00F10D25"/>
    <w:rsid w:val="00F12973"/>
    <w:rsid w:val="00F14EBE"/>
    <w:rsid w:val="00F20C9A"/>
    <w:rsid w:val="00F24805"/>
    <w:rsid w:val="00F31795"/>
    <w:rsid w:val="00F318E6"/>
    <w:rsid w:val="00F3200F"/>
    <w:rsid w:val="00F41C23"/>
    <w:rsid w:val="00F448B4"/>
    <w:rsid w:val="00F448EF"/>
    <w:rsid w:val="00F44D23"/>
    <w:rsid w:val="00F51E49"/>
    <w:rsid w:val="00F5234F"/>
    <w:rsid w:val="00F53C56"/>
    <w:rsid w:val="00F55808"/>
    <w:rsid w:val="00F56903"/>
    <w:rsid w:val="00F619F7"/>
    <w:rsid w:val="00F65398"/>
    <w:rsid w:val="00F66DD7"/>
    <w:rsid w:val="00F670BB"/>
    <w:rsid w:val="00F72B69"/>
    <w:rsid w:val="00F734EA"/>
    <w:rsid w:val="00F7629C"/>
    <w:rsid w:val="00F82F5A"/>
    <w:rsid w:val="00F847DC"/>
    <w:rsid w:val="00F872EB"/>
    <w:rsid w:val="00F936F5"/>
    <w:rsid w:val="00F961DD"/>
    <w:rsid w:val="00F978D3"/>
    <w:rsid w:val="00FA1BCB"/>
    <w:rsid w:val="00FA3812"/>
    <w:rsid w:val="00FB192E"/>
    <w:rsid w:val="00FB1CD5"/>
    <w:rsid w:val="00FB3C6A"/>
    <w:rsid w:val="00FB6ADD"/>
    <w:rsid w:val="00FB6D4E"/>
    <w:rsid w:val="00FB78B3"/>
    <w:rsid w:val="00FC1FF3"/>
    <w:rsid w:val="00FC50D9"/>
    <w:rsid w:val="00FD72B8"/>
    <w:rsid w:val="00FD7DFD"/>
    <w:rsid w:val="00FE2EA7"/>
    <w:rsid w:val="00FE3627"/>
    <w:rsid w:val="00FE71D2"/>
    <w:rsid w:val="00FF23F7"/>
    <w:rsid w:val="00FF309E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5B747"/>
  <w15:chartTrackingRefBased/>
  <w15:docId w15:val="{637A2D53-2578-2247-B0AB-F8D14B399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EDF"/>
    <w:rPr>
      <w:rFonts w:ascii="Times New Roman" w:eastAsia="SimSun" w:hAnsi="Times New Roman" w:cs="Times New Roman"/>
      <w:kern w:val="0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E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E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E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E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ED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71ED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71EDF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EDF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EDF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EDF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EDF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EDF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EDF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71E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1EDF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E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1EDF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71E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1EDF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E71E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1E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EDF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E71E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71ED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71EDF"/>
    <w:rPr>
      <w:i/>
      <w:iCs/>
    </w:rPr>
  </w:style>
  <w:style w:type="paragraph" w:styleId="NormalWeb">
    <w:name w:val="Normal (Web)"/>
    <w:basedOn w:val="Normal"/>
    <w:uiPriority w:val="99"/>
    <w:unhideWhenUsed/>
    <w:rsid w:val="00E71E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E71EDF"/>
  </w:style>
  <w:style w:type="character" w:styleId="CommentReference">
    <w:name w:val="annotation reference"/>
    <w:basedOn w:val="DefaultParagraphFont"/>
    <w:uiPriority w:val="99"/>
    <w:semiHidden/>
    <w:unhideWhenUsed/>
    <w:rsid w:val="00E71E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1E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1EDF"/>
    <w:rPr>
      <w:rFonts w:ascii="Times New Roman" w:eastAsia="SimSun" w:hAnsi="Times New Roman" w:cs="Times New Roman"/>
      <w:kern w:val="0"/>
      <w:sz w:val="20"/>
      <w:szCs w:val="20"/>
      <w:lang w:val="en-US" w:eastAsia="en-US"/>
      <w14:ligatures w14:val="none"/>
    </w:rPr>
  </w:style>
  <w:style w:type="character" w:customStyle="1" w:styleId="ui-ncbitoggler-master-text">
    <w:name w:val="ui-ncbitoggler-master-text"/>
    <w:basedOn w:val="DefaultParagraphFont"/>
    <w:rsid w:val="00E71EDF"/>
  </w:style>
  <w:style w:type="character" w:customStyle="1" w:styleId="highlight">
    <w:name w:val="highlight"/>
    <w:basedOn w:val="DefaultParagraphFont"/>
    <w:rsid w:val="00E71EDF"/>
  </w:style>
  <w:style w:type="paragraph" w:styleId="Revision">
    <w:name w:val="Revision"/>
    <w:hidden/>
    <w:uiPriority w:val="99"/>
    <w:semiHidden/>
    <w:rsid w:val="00A6745E"/>
    <w:rPr>
      <w:rFonts w:ascii="Times New Roman" w:eastAsia="SimSun" w:hAnsi="Times New Roman" w:cs="Times New Roman"/>
      <w:kern w:val="0"/>
      <w:lang w:val="en-US" w:eastAsia="en-US"/>
      <w14:ligatures w14:val="none"/>
    </w:rPr>
  </w:style>
  <w:style w:type="character" w:customStyle="1" w:styleId="csl-left-margin">
    <w:name w:val="csl-left-margin"/>
    <w:basedOn w:val="DefaultParagraphFont"/>
    <w:rsid w:val="00A6745E"/>
  </w:style>
  <w:style w:type="character" w:customStyle="1" w:styleId="csl-right-inline">
    <w:name w:val="csl-right-inline"/>
    <w:basedOn w:val="DefaultParagraphFont"/>
    <w:rsid w:val="00A6745E"/>
  </w:style>
  <w:style w:type="character" w:customStyle="1" w:styleId="csl-entry">
    <w:name w:val="csl-entry"/>
    <w:basedOn w:val="DefaultParagraphFont"/>
    <w:rsid w:val="00A6745E"/>
  </w:style>
  <w:style w:type="character" w:styleId="UnresolvedMention">
    <w:name w:val="Unresolved Mention"/>
    <w:basedOn w:val="DefaultParagraphFont"/>
    <w:uiPriority w:val="99"/>
    <w:semiHidden/>
    <w:unhideWhenUsed/>
    <w:rsid w:val="00A6745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197"/>
    <w:rPr>
      <w:rFonts w:ascii="Times New Roman" w:eastAsia="SimSun" w:hAnsi="Times New Roman" w:cs="Times New Roman"/>
      <w:b/>
      <w:bCs/>
      <w:kern w:val="0"/>
      <w:sz w:val="20"/>
      <w:szCs w:val="20"/>
      <w:lang w:val="en-US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0AADDE-418F-CE4B-9007-8582693F2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Wang</dc:creator>
  <cp:keywords/>
  <dc:description/>
  <cp:lastModifiedBy>Vicky Wang</cp:lastModifiedBy>
  <cp:revision>3</cp:revision>
  <dcterms:created xsi:type="dcterms:W3CDTF">2026-07-03T00:12:00Z</dcterms:created>
  <dcterms:modified xsi:type="dcterms:W3CDTF">2026-07-03T00:13:00Z</dcterms:modified>
</cp:coreProperties>
</file>