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C64D53" w14:textId="4BFBD9D5" w:rsidR="006758B1" w:rsidRDefault="006758B1">
      <w:pPr>
        <w:pStyle w:val="21"/>
        <w:rPr>
          <w:rFonts w:ascii="Calibri" w:hAnsi="Calibri" w:cs="Calibri"/>
          <w:b/>
          <w:bCs/>
          <w:sz w:val="24"/>
          <w:szCs w:val="24"/>
        </w:rPr>
      </w:pPr>
      <w:r>
        <w:rPr>
          <w:rFonts w:ascii="Calibri" w:hAnsi="Calibri" w:cs="Calibri"/>
          <w:b/>
          <w:bCs/>
          <w:sz w:val="24"/>
          <w:szCs w:val="24"/>
        </w:rPr>
        <w:t>Comments for Authors on September 17, 2026</w:t>
      </w:r>
    </w:p>
    <w:p w14:paraId="692E6319" w14:textId="77777777" w:rsidR="006758B1" w:rsidRPr="009E1302" w:rsidRDefault="006758B1" w:rsidP="006758B1">
      <w:pPr>
        <w:pStyle w:val="21"/>
        <w:rPr>
          <w:rFonts w:ascii="Calibri" w:hAnsi="Calibri" w:cs="Calibri"/>
        </w:rPr>
      </w:pPr>
      <w:r w:rsidRPr="009E1302">
        <w:rPr>
          <w:rFonts w:ascii="Calibri" w:hAnsi="Calibri" w:cs="Calibri"/>
          <w:sz w:val="24"/>
          <w:szCs w:val="24"/>
        </w:rPr>
        <w:t>C10-#2 AOP networks on ROS induced growth inhibition</w:t>
      </w:r>
    </w:p>
    <w:p w14:paraId="339C970A" w14:textId="77777777" w:rsidR="006758B1" w:rsidRPr="009E1302" w:rsidRDefault="006758B1" w:rsidP="006758B1">
      <w:pPr>
        <w:pStyle w:val="21"/>
        <w:rPr>
          <w:rFonts w:ascii="Calibri" w:hAnsi="Calibri" w:cs="Calibri"/>
        </w:rPr>
      </w:pPr>
    </w:p>
    <w:p w14:paraId="195B361F" w14:textId="77777777" w:rsidR="006758B1" w:rsidRPr="009E1302" w:rsidRDefault="006758B1" w:rsidP="006758B1">
      <w:pPr>
        <w:pStyle w:val="21"/>
        <w:rPr>
          <w:rFonts w:ascii="Calibri" w:hAnsi="Calibri" w:cs="Calibri"/>
        </w:rPr>
      </w:pPr>
      <w:r w:rsidRPr="009E1302">
        <w:rPr>
          <w:rFonts w:ascii="Calibri" w:hAnsi="Calibri" w:cs="Calibri"/>
          <w:sz w:val="24"/>
          <w:szCs w:val="24"/>
        </w:rPr>
        <w:t>Authors: You Song, Li Xie, Knut Erik Tollefsen</w:t>
      </w:r>
    </w:p>
    <w:p w14:paraId="5B3814C8" w14:textId="77777777" w:rsidR="006758B1" w:rsidRPr="009E1302" w:rsidRDefault="006758B1" w:rsidP="006758B1">
      <w:pPr>
        <w:pStyle w:val="21"/>
        <w:rPr>
          <w:rFonts w:ascii="Calibri" w:hAnsi="Calibri" w:cs="Calibri"/>
        </w:rPr>
      </w:pPr>
    </w:p>
    <w:p w14:paraId="11822E7A" w14:textId="77777777" w:rsidR="006758B1" w:rsidRPr="009E1302" w:rsidRDefault="006758B1" w:rsidP="006758B1">
      <w:pPr>
        <w:pStyle w:val="21"/>
        <w:rPr>
          <w:rFonts w:ascii="Calibri" w:hAnsi="Calibri" w:cs="Calibri"/>
        </w:rPr>
      </w:pPr>
      <w:r w:rsidRPr="009E1302">
        <w:rPr>
          <w:rFonts w:ascii="Calibri" w:hAnsi="Calibri" w:cs="Calibri"/>
          <w:sz w:val="24"/>
          <w:szCs w:val="24"/>
        </w:rPr>
        <w:t>Coach: Shihori Tanabe</w:t>
      </w:r>
    </w:p>
    <w:p w14:paraId="1CCB9C10" w14:textId="77777777" w:rsidR="006758B1" w:rsidRDefault="006758B1">
      <w:pPr>
        <w:pStyle w:val="21"/>
        <w:rPr>
          <w:rFonts w:ascii="Calibri" w:hAnsi="Calibri" w:cs="Calibri"/>
          <w:b/>
          <w:bCs/>
          <w:sz w:val="24"/>
          <w:szCs w:val="24"/>
        </w:rPr>
      </w:pPr>
    </w:p>
    <w:p w14:paraId="3F9EA697" w14:textId="77777777" w:rsidR="006758B1" w:rsidRDefault="006758B1">
      <w:pPr>
        <w:pStyle w:val="21"/>
        <w:rPr>
          <w:rFonts w:ascii="Calibri" w:hAnsi="Calibri" w:cs="Calibri"/>
          <w:b/>
          <w:bCs/>
          <w:sz w:val="24"/>
          <w:szCs w:val="24"/>
        </w:rPr>
      </w:pPr>
    </w:p>
    <w:p w14:paraId="281A33CA" w14:textId="4C264BF9" w:rsidR="006758B1" w:rsidRDefault="006758B1">
      <w:pPr>
        <w:pStyle w:val="21"/>
        <w:rPr>
          <w:rFonts w:ascii="Calibri" w:hAnsi="Calibri" w:cs="Calibri"/>
          <w:b/>
          <w:bCs/>
          <w:sz w:val="24"/>
          <w:szCs w:val="24"/>
        </w:rPr>
      </w:pPr>
      <w:r>
        <w:rPr>
          <w:rFonts w:ascii="Calibri" w:hAnsi="Calibri" w:cs="Calibri"/>
          <w:b/>
          <w:bCs/>
          <w:sz w:val="24"/>
          <w:szCs w:val="24"/>
        </w:rPr>
        <w:t>----------</w:t>
      </w:r>
    </w:p>
    <w:p w14:paraId="5B5CC64A" w14:textId="5F91598B" w:rsidR="003D09C2" w:rsidRPr="003B7FB1" w:rsidRDefault="6A2DE6B9">
      <w:pPr>
        <w:pStyle w:val="21"/>
        <w:rPr>
          <w:rFonts w:ascii="Calibri" w:hAnsi="Calibri" w:cs="Calibri"/>
          <w:b/>
          <w:bCs/>
          <w:color w:val="0070C0"/>
        </w:rPr>
      </w:pPr>
      <w:r w:rsidRPr="001F58BC">
        <w:rPr>
          <w:rFonts w:ascii="Calibri" w:hAnsi="Calibri" w:cs="Calibri"/>
          <w:b/>
          <w:bCs/>
          <w:sz w:val="24"/>
          <w:szCs w:val="24"/>
        </w:rPr>
        <w:t>Comments for Authors</w:t>
      </w:r>
      <w:r w:rsidR="001F58BC" w:rsidRPr="001F58BC">
        <w:rPr>
          <w:rFonts w:ascii="Calibri" w:hAnsi="Calibri" w:cs="Calibri"/>
          <w:b/>
          <w:bCs/>
          <w:sz w:val="24"/>
          <w:szCs w:val="24"/>
        </w:rPr>
        <w:t xml:space="preserve"> </w:t>
      </w:r>
      <w:r w:rsidR="001F58BC" w:rsidRPr="003B7FB1">
        <w:rPr>
          <w:rFonts w:ascii="Calibri" w:hAnsi="Calibri" w:cs="Calibri"/>
          <w:b/>
          <w:bCs/>
          <w:color w:val="0070C0"/>
          <w:sz w:val="24"/>
          <w:szCs w:val="24"/>
        </w:rPr>
        <w:t>+ Authors’ responses</w:t>
      </w:r>
    </w:p>
    <w:p w14:paraId="02364876" w14:textId="35262C23" w:rsidR="003D09C2" w:rsidRPr="009E1302" w:rsidRDefault="003D09C2" w:rsidP="224BF531">
      <w:pPr>
        <w:pStyle w:val="21"/>
        <w:rPr>
          <w:rFonts w:ascii="Calibri" w:hAnsi="Calibri" w:cs="Calibri"/>
          <w:sz w:val="24"/>
          <w:szCs w:val="24"/>
        </w:rPr>
      </w:pPr>
    </w:p>
    <w:p w14:paraId="4D59F074" w14:textId="26D8ABE6" w:rsidR="003D09C2" w:rsidRPr="009E1302" w:rsidRDefault="6A2DE6B9" w:rsidP="224BF531">
      <w:pPr>
        <w:pStyle w:val="21"/>
        <w:rPr>
          <w:rFonts w:ascii="Calibri" w:hAnsi="Calibri" w:cs="Calibri"/>
        </w:rPr>
      </w:pPr>
      <w:r w:rsidRPr="009E1302">
        <w:rPr>
          <w:rFonts w:ascii="Calibri" w:hAnsi="Calibri" w:cs="Calibri"/>
          <w:sz w:val="24"/>
          <w:szCs w:val="24"/>
        </w:rPr>
        <w:t>C10-#2 AOP networks on ROS induced growth inhibition</w:t>
      </w:r>
    </w:p>
    <w:p w14:paraId="3277117C" w14:textId="06B4E3E6" w:rsidR="003D09C2" w:rsidRPr="009E1302" w:rsidRDefault="003D09C2" w:rsidP="7EAE7AC5">
      <w:pPr>
        <w:pStyle w:val="21"/>
        <w:rPr>
          <w:rFonts w:ascii="Calibri" w:hAnsi="Calibri" w:cs="Calibri"/>
        </w:rPr>
      </w:pPr>
    </w:p>
    <w:p w14:paraId="1685E977" w14:textId="2BDD7B28" w:rsidR="003D09C2" w:rsidRPr="009E1302" w:rsidRDefault="6A2DE6B9" w:rsidP="7EAE7AC5">
      <w:pPr>
        <w:pStyle w:val="21"/>
        <w:rPr>
          <w:rFonts w:ascii="Calibri" w:hAnsi="Calibri" w:cs="Calibri"/>
        </w:rPr>
      </w:pPr>
      <w:r w:rsidRPr="009E1302">
        <w:rPr>
          <w:rFonts w:ascii="Calibri" w:hAnsi="Calibri" w:cs="Calibri"/>
          <w:sz w:val="24"/>
          <w:szCs w:val="24"/>
        </w:rPr>
        <w:t>Authors: You Song, Li Xie, Knut Erik Tollefsen</w:t>
      </w:r>
    </w:p>
    <w:p w14:paraId="00A8A36B" w14:textId="2062F01E" w:rsidR="003D09C2" w:rsidRPr="009E1302" w:rsidRDefault="003D09C2" w:rsidP="7EAE7AC5">
      <w:pPr>
        <w:pStyle w:val="21"/>
        <w:rPr>
          <w:rFonts w:ascii="Calibri" w:hAnsi="Calibri" w:cs="Calibri"/>
        </w:rPr>
      </w:pPr>
    </w:p>
    <w:p w14:paraId="3B8D8E93" w14:textId="2F6F37FF" w:rsidR="003D09C2" w:rsidRPr="009E1302" w:rsidRDefault="6A2DE6B9" w:rsidP="7EAE7AC5">
      <w:pPr>
        <w:pStyle w:val="21"/>
        <w:rPr>
          <w:rFonts w:ascii="Calibri" w:hAnsi="Calibri" w:cs="Calibri"/>
        </w:rPr>
      </w:pPr>
      <w:r w:rsidRPr="009E1302">
        <w:rPr>
          <w:rFonts w:ascii="Calibri" w:hAnsi="Calibri" w:cs="Calibri"/>
          <w:sz w:val="24"/>
          <w:szCs w:val="24"/>
        </w:rPr>
        <w:t>Coach: Shihori Tanabe</w:t>
      </w:r>
    </w:p>
    <w:p w14:paraId="48B1D07D" w14:textId="1C1B4826" w:rsidR="003D09C2" w:rsidRPr="009E1302" w:rsidRDefault="003D09C2" w:rsidP="7EAE7AC5">
      <w:pPr>
        <w:pStyle w:val="21"/>
        <w:rPr>
          <w:rFonts w:ascii="Calibri" w:hAnsi="Calibri" w:cs="Calibri"/>
        </w:rPr>
      </w:pPr>
    </w:p>
    <w:p w14:paraId="49013502" w14:textId="5E4C6902" w:rsidR="003D09C2" w:rsidRPr="009E1302" w:rsidRDefault="6A2DE6B9" w:rsidP="7EAE7AC5">
      <w:pPr>
        <w:pStyle w:val="21"/>
        <w:rPr>
          <w:rFonts w:ascii="Calibri" w:hAnsi="Calibri" w:cs="Calibri"/>
        </w:rPr>
      </w:pPr>
      <w:r w:rsidRPr="009E1302">
        <w:rPr>
          <w:rFonts w:ascii="Calibri" w:hAnsi="Calibri" w:cs="Calibri"/>
          <w:sz w:val="24"/>
          <w:szCs w:val="24"/>
        </w:rPr>
        <w:t>July 31</w:t>
      </w:r>
      <w:r w:rsidRPr="009E1302">
        <w:rPr>
          <w:rFonts w:ascii="Calibri" w:hAnsi="Calibri" w:cs="Calibri"/>
          <w:sz w:val="24"/>
          <w:szCs w:val="24"/>
          <w:vertAlign w:val="superscript"/>
        </w:rPr>
        <w:t>st</w:t>
      </w:r>
      <w:proofErr w:type="gramStart"/>
      <w:r w:rsidRPr="009E1302">
        <w:rPr>
          <w:rFonts w:ascii="Calibri" w:hAnsi="Calibri" w:cs="Calibri"/>
          <w:sz w:val="24"/>
          <w:szCs w:val="24"/>
        </w:rPr>
        <w:t xml:space="preserve"> 2026</w:t>
      </w:r>
      <w:proofErr w:type="gramEnd"/>
    </w:p>
    <w:p w14:paraId="02291C42" w14:textId="35A3149D" w:rsidR="003D09C2" w:rsidRDefault="003D09C2" w:rsidP="7EAE7AC5">
      <w:pPr>
        <w:pStyle w:val="21"/>
        <w:rPr>
          <w:rFonts w:ascii="Calibri" w:hAnsi="Calibri" w:cs="Calibri"/>
          <w:sz w:val="24"/>
          <w:szCs w:val="24"/>
        </w:rPr>
      </w:pPr>
    </w:p>
    <w:p w14:paraId="068BFDCD" w14:textId="77777777" w:rsidR="00244B5E" w:rsidRDefault="00244B5E" w:rsidP="7EAE7AC5">
      <w:pPr>
        <w:pStyle w:val="21"/>
        <w:rPr>
          <w:rFonts w:ascii="Calibri" w:hAnsi="Calibri" w:cs="Calibri"/>
          <w:color w:val="0070C0"/>
          <w:sz w:val="24"/>
          <w:szCs w:val="24"/>
        </w:rPr>
      </w:pPr>
    </w:p>
    <w:p w14:paraId="2E6BCA5A" w14:textId="77777777" w:rsidR="00244B5E" w:rsidRDefault="00244B5E" w:rsidP="7EAE7AC5">
      <w:pPr>
        <w:pStyle w:val="21"/>
        <w:rPr>
          <w:rFonts w:ascii="Calibri" w:hAnsi="Calibri" w:cs="Calibri"/>
          <w:color w:val="0070C0"/>
          <w:sz w:val="24"/>
          <w:szCs w:val="24"/>
        </w:rPr>
      </w:pPr>
    </w:p>
    <w:p w14:paraId="2EC072F3" w14:textId="5377F885" w:rsidR="003B7FB1" w:rsidRPr="003B7FB1" w:rsidRDefault="003B7FB1" w:rsidP="7EAE7AC5">
      <w:pPr>
        <w:pStyle w:val="21"/>
        <w:rPr>
          <w:rFonts w:ascii="Calibri" w:hAnsi="Calibri" w:cs="Calibri"/>
          <w:color w:val="0070C0"/>
          <w:sz w:val="24"/>
          <w:szCs w:val="24"/>
        </w:rPr>
      </w:pPr>
      <w:r w:rsidRPr="003B7FB1">
        <w:rPr>
          <w:rFonts w:ascii="Calibri" w:hAnsi="Calibri" w:cs="Calibri"/>
          <w:color w:val="0070C0"/>
          <w:sz w:val="24"/>
          <w:szCs w:val="24"/>
        </w:rPr>
        <w:t xml:space="preserve">Authors’ responses submitted on </w:t>
      </w:r>
      <w:r w:rsidR="00244B5E">
        <w:rPr>
          <w:rFonts w:ascii="Calibri" w:hAnsi="Calibri" w:cs="Calibri"/>
          <w:color w:val="0070C0"/>
          <w:sz w:val="24"/>
          <w:szCs w:val="24"/>
        </w:rPr>
        <w:t xml:space="preserve">Oct </w:t>
      </w:r>
      <w:r w:rsidR="007C13AC">
        <w:rPr>
          <w:rFonts w:ascii="Calibri" w:hAnsi="Calibri" w:cs="Calibri"/>
          <w:color w:val="0070C0"/>
          <w:sz w:val="24"/>
          <w:szCs w:val="24"/>
        </w:rPr>
        <w:t>6</w:t>
      </w:r>
      <w:r w:rsidRPr="003B7FB1">
        <w:rPr>
          <w:rFonts w:ascii="Calibri" w:hAnsi="Calibri" w:cs="Calibri"/>
          <w:color w:val="0070C0"/>
          <w:sz w:val="24"/>
          <w:szCs w:val="24"/>
        </w:rPr>
        <w:t>, 2026</w:t>
      </w:r>
    </w:p>
    <w:p w14:paraId="090E9ED5" w14:textId="7A8AFEFE" w:rsidR="00A7374B" w:rsidRDefault="00933984" w:rsidP="00A7374B">
      <w:pPr>
        <w:pStyle w:val="21"/>
        <w:rPr>
          <w:rFonts w:ascii="Calibri" w:hAnsi="Calibri" w:cs="Calibri"/>
          <w:color w:val="EE0000"/>
          <w:sz w:val="24"/>
          <w:szCs w:val="24"/>
        </w:rPr>
      </w:pPr>
      <w:r w:rsidRPr="00933984">
        <w:rPr>
          <w:rFonts w:ascii="Calibri" w:hAnsi="Calibri" w:cs="Calibri"/>
          <w:color w:val="EE0000"/>
          <w:sz w:val="24"/>
          <w:szCs w:val="24"/>
        </w:rPr>
        <w:t>Coach’s comment on Oct 20, 2026</w:t>
      </w:r>
    </w:p>
    <w:p w14:paraId="75E71C95" w14:textId="77777777" w:rsidR="00A7374B" w:rsidRPr="00A7374B" w:rsidRDefault="00A7374B" w:rsidP="00A7374B">
      <w:pPr>
        <w:pStyle w:val="21"/>
        <w:rPr>
          <w:rFonts w:ascii="Calibri" w:hAnsi="Calibri" w:cs="Calibri"/>
          <w:color w:val="44A921" w:themeColor="accent3" w:themeShade="BF"/>
          <w:sz w:val="24"/>
          <w:szCs w:val="24"/>
        </w:rPr>
      </w:pPr>
      <w:r w:rsidRPr="00A7374B">
        <w:rPr>
          <w:rFonts w:ascii="Calibri" w:hAnsi="Calibri" w:cs="Calibri"/>
          <w:color w:val="44A921" w:themeColor="accent3" w:themeShade="BF"/>
          <w:sz w:val="24"/>
          <w:szCs w:val="24"/>
        </w:rPr>
        <w:t>Coach’s comment on Oct 22, 2026</w:t>
      </w:r>
    </w:p>
    <w:p w14:paraId="14EC43B0" w14:textId="77777777" w:rsidR="00933984" w:rsidRPr="009E1302" w:rsidRDefault="00933984" w:rsidP="7EAE7AC5">
      <w:pPr>
        <w:pStyle w:val="21"/>
        <w:rPr>
          <w:rFonts w:ascii="Calibri" w:hAnsi="Calibri" w:cs="Calibri"/>
          <w:sz w:val="24"/>
          <w:szCs w:val="24"/>
        </w:rPr>
      </w:pPr>
    </w:p>
    <w:p w14:paraId="2A59B5DC" w14:textId="604235BA" w:rsidR="003D09C2" w:rsidRPr="00C543FE" w:rsidRDefault="6A2DE6B9" w:rsidP="224BF531">
      <w:pPr>
        <w:pStyle w:val="21"/>
        <w:rPr>
          <w:rFonts w:ascii="Calibri" w:hAnsi="Calibri" w:cs="Calibri"/>
          <w:b/>
          <w:bCs/>
          <w:sz w:val="24"/>
          <w:szCs w:val="24"/>
        </w:rPr>
      </w:pPr>
      <w:r w:rsidRPr="00C543FE">
        <w:rPr>
          <w:rFonts w:ascii="Calibri" w:hAnsi="Calibri" w:cs="Calibri"/>
          <w:b/>
          <w:bCs/>
          <w:sz w:val="24"/>
          <w:szCs w:val="24"/>
        </w:rPr>
        <w:t>1. The title can be accorded with OECD guidance.</w:t>
      </w:r>
    </w:p>
    <w:p w14:paraId="4C78B426" w14:textId="0B028A27" w:rsidR="009E1302" w:rsidRPr="009E0B82" w:rsidRDefault="009E1302" w:rsidP="224BF531">
      <w:pPr>
        <w:pStyle w:val="21"/>
        <w:rPr>
          <w:rFonts w:ascii="Calibri" w:eastAsia="SimSun" w:hAnsi="Calibri" w:cs="Calibri"/>
          <w:color w:val="0070C0"/>
          <w:sz w:val="24"/>
          <w:szCs w:val="24"/>
        </w:rPr>
      </w:pPr>
      <w:r w:rsidRPr="009E0B82">
        <w:rPr>
          <w:rFonts w:ascii="Calibri" w:eastAsia="SimSun" w:hAnsi="Calibri" w:cs="Calibri"/>
          <w:b/>
          <w:bCs/>
          <w:color w:val="0070C0"/>
          <w:sz w:val="24"/>
          <w:szCs w:val="24"/>
        </w:rPr>
        <w:t>Authors’ response</w:t>
      </w:r>
      <w:r w:rsidRPr="009E0B82">
        <w:rPr>
          <w:rFonts w:ascii="Calibri" w:eastAsia="SimSun" w:hAnsi="Calibri" w:cs="Calibri"/>
          <w:color w:val="0070C0"/>
          <w:sz w:val="24"/>
          <w:szCs w:val="24"/>
        </w:rPr>
        <w:t>: Agreed. We have added the direction of change for the MIE and changed the titles of the six AOP to:</w:t>
      </w:r>
    </w:p>
    <w:p w14:paraId="273F7AEE" w14:textId="57BA85FB" w:rsidR="009E1302" w:rsidRPr="009E0B82" w:rsidRDefault="009E1302" w:rsidP="224BF531">
      <w:pPr>
        <w:pStyle w:val="21"/>
        <w:rPr>
          <w:rFonts w:ascii="Calibri" w:eastAsia="SimSun" w:hAnsi="Calibri" w:cs="Calibri"/>
          <w:color w:val="0070C0"/>
          <w:sz w:val="24"/>
          <w:szCs w:val="24"/>
        </w:rPr>
      </w:pPr>
      <w:r w:rsidRPr="009E0B82">
        <w:rPr>
          <w:rFonts w:ascii="Calibri" w:eastAsia="SimSun" w:hAnsi="Calibri" w:cs="Calibri"/>
          <w:color w:val="0070C0"/>
          <w:sz w:val="24"/>
          <w:szCs w:val="24"/>
        </w:rPr>
        <w:t>AOP 324: Increase in reactive oxygen species leading to growth inhibition via oxidative DNA damage and cell cycle disruption</w:t>
      </w:r>
    </w:p>
    <w:p w14:paraId="4AC75ED1" w14:textId="273F66B0" w:rsidR="009E1302" w:rsidRPr="009E0B82" w:rsidRDefault="009E1302" w:rsidP="224BF531">
      <w:pPr>
        <w:pStyle w:val="21"/>
        <w:rPr>
          <w:rFonts w:ascii="Calibri" w:eastAsia="SimSun" w:hAnsi="Calibri" w:cs="Calibri"/>
          <w:color w:val="0070C0"/>
          <w:sz w:val="24"/>
          <w:szCs w:val="24"/>
        </w:rPr>
      </w:pPr>
      <w:r w:rsidRPr="009E0B82">
        <w:rPr>
          <w:rFonts w:ascii="Calibri" w:eastAsia="SimSun" w:hAnsi="Calibri" w:cs="Calibri"/>
          <w:color w:val="0070C0"/>
          <w:sz w:val="24"/>
          <w:szCs w:val="24"/>
        </w:rPr>
        <w:t>AOP325: Increase in reactive oxygen species leading to growth inhibition via oxidative DNA damage and cell death</w:t>
      </w:r>
    </w:p>
    <w:p w14:paraId="2D8F572A" w14:textId="4E90B9AA" w:rsidR="009E1302" w:rsidRPr="009E0B82" w:rsidRDefault="009E1302" w:rsidP="224BF531">
      <w:pPr>
        <w:pStyle w:val="21"/>
        <w:rPr>
          <w:rFonts w:ascii="Calibri" w:eastAsia="SimSun" w:hAnsi="Calibri" w:cs="Calibri"/>
          <w:color w:val="0070C0"/>
          <w:sz w:val="24"/>
          <w:szCs w:val="24"/>
        </w:rPr>
      </w:pPr>
      <w:r w:rsidRPr="009E0B82">
        <w:rPr>
          <w:rFonts w:ascii="Calibri" w:eastAsia="SimSun" w:hAnsi="Calibri" w:cs="Calibri"/>
          <w:color w:val="0070C0"/>
          <w:sz w:val="24"/>
          <w:szCs w:val="24"/>
        </w:rPr>
        <w:t>AOP326: Increase in reactive oxygen species leading to growth inhibition via lipid peroxidation and decreased cell proliferation</w:t>
      </w:r>
    </w:p>
    <w:p w14:paraId="391955ED" w14:textId="252BADD7" w:rsidR="009E1302" w:rsidRPr="009E0B82" w:rsidRDefault="009E1302" w:rsidP="224BF531">
      <w:pPr>
        <w:pStyle w:val="21"/>
        <w:rPr>
          <w:rFonts w:ascii="Calibri" w:eastAsia="SimSun" w:hAnsi="Calibri" w:cs="Calibri"/>
          <w:color w:val="0070C0"/>
          <w:sz w:val="24"/>
          <w:szCs w:val="24"/>
        </w:rPr>
      </w:pPr>
      <w:r w:rsidRPr="009E0B82">
        <w:rPr>
          <w:rFonts w:ascii="Calibri" w:eastAsia="SimSun" w:hAnsi="Calibri" w:cs="Calibri"/>
          <w:color w:val="0070C0"/>
          <w:sz w:val="24"/>
          <w:szCs w:val="24"/>
        </w:rPr>
        <w:t>AOP331: Increase in reactive oxygen species leading to growth inhibition via lipid peroxidation and cell death</w:t>
      </w:r>
    </w:p>
    <w:p w14:paraId="2B88EE1E" w14:textId="634BAC64" w:rsidR="009E1302" w:rsidRPr="009E0B82" w:rsidRDefault="009E1302" w:rsidP="224BF531">
      <w:pPr>
        <w:pStyle w:val="21"/>
        <w:rPr>
          <w:rFonts w:ascii="Calibri" w:eastAsia="SimSun" w:hAnsi="Calibri" w:cs="Calibri"/>
          <w:color w:val="0070C0"/>
          <w:sz w:val="24"/>
          <w:szCs w:val="24"/>
        </w:rPr>
      </w:pPr>
      <w:r w:rsidRPr="009E0B82">
        <w:rPr>
          <w:rFonts w:ascii="Calibri" w:eastAsia="SimSun" w:hAnsi="Calibri" w:cs="Calibri"/>
          <w:color w:val="0070C0"/>
          <w:sz w:val="24"/>
          <w:szCs w:val="24"/>
        </w:rPr>
        <w:t>AOP332: Increase in reactive oxygen species leading to growth inhibition via protein oxidation and decreased cell proliferation</w:t>
      </w:r>
    </w:p>
    <w:p w14:paraId="40E3B011" w14:textId="10A4F6FD" w:rsidR="009E1302" w:rsidRPr="009E0B82" w:rsidRDefault="009E1302" w:rsidP="224BF531">
      <w:pPr>
        <w:pStyle w:val="21"/>
        <w:rPr>
          <w:rFonts w:ascii="Calibri" w:eastAsia="SimSun" w:hAnsi="Calibri" w:cs="Calibri"/>
          <w:color w:val="0070C0"/>
          <w:sz w:val="24"/>
          <w:szCs w:val="24"/>
        </w:rPr>
      </w:pPr>
      <w:r w:rsidRPr="009E0B82">
        <w:rPr>
          <w:rFonts w:ascii="Calibri" w:eastAsia="SimSun" w:hAnsi="Calibri" w:cs="Calibri"/>
          <w:color w:val="0070C0"/>
          <w:sz w:val="24"/>
          <w:szCs w:val="24"/>
        </w:rPr>
        <w:t>AOP333: Increase in reactive oxygen species leading to growth inhibition via protein oxidation and cell death</w:t>
      </w:r>
    </w:p>
    <w:p w14:paraId="15A1DD6F" w14:textId="4A0014A2" w:rsidR="7EAE7AC5" w:rsidRDefault="00817241" w:rsidP="7EAE7AC5">
      <w:pPr>
        <w:pStyle w:val="21"/>
        <w:rPr>
          <w:rFonts w:ascii="Calibri" w:hAnsi="Calibri" w:cs="Calibri"/>
          <w:color w:val="EE0000"/>
          <w:sz w:val="24"/>
          <w:szCs w:val="24"/>
        </w:rPr>
      </w:pPr>
      <w:r w:rsidRPr="0018719F">
        <w:rPr>
          <w:rFonts w:ascii="Calibri" w:hAnsi="Calibri" w:cs="Calibri"/>
          <w:color w:val="EE0000"/>
          <w:sz w:val="24"/>
          <w:szCs w:val="24"/>
        </w:rPr>
        <w:t>Coach’s comment:</w:t>
      </w:r>
      <w:r>
        <w:rPr>
          <w:rFonts w:ascii="Calibri" w:hAnsi="Calibri" w:cs="Calibri"/>
          <w:color w:val="EE0000"/>
          <w:sz w:val="24"/>
          <w:szCs w:val="24"/>
        </w:rPr>
        <w:t xml:space="preserve"> Okay.</w:t>
      </w:r>
    </w:p>
    <w:p w14:paraId="5C5F9799" w14:textId="77777777" w:rsidR="00817241" w:rsidRPr="009E1302" w:rsidRDefault="00817241" w:rsidP="7EAE7AC5">
      <w:pPr>
        <w:pStyle w:val="21"/>
        <w:rPr>
          <w:rFonts w:ascii="Calibri" w:hAnsi="Calibri" w:cs="Calibri"/>
        </w:rPr>
      </w:pPr>
    </w:p>
    <w:p w14:paraId="625E2C85" w14:textId="0A5541AE" w:rsidR="001C4D98" w:rsidRDefault="224BF531">
      <w:pPr>
        <w:pStyle w:val="21"/>
        <w:rPr>
          <w:rFonts w:ascii="Calibri" w:hAnsi="Calibri" w:cs="Calibri"/>
          <w:b/>
          <w:bCs/>
          <w:sz w:val="24"/>
          <w:szCs w:val="24"/>
        </w:rPr>
      </w:pPr>
      <w:r w:rsidRPr="00C543FE">
        <w:rPr>
          <w:rFonts w:ascii="Calibri" w:hAnsi="Calibri" w:cs="Calibri"/>
          <w:b/>
          <w:bCs/>
          <w:sz w:val="24"/>
          <w:szCs w:val="24"/>
        </w:rPr>
        <w:t xml:space="preserve">2. </w:t>
      </w:r>
      <w:r w:rsidR="001C4D98" w:rsidRPr="001C4D98">
        <w:rPr>
          <w:rFonts w:ascii="Calibri" w:hAnsi="Calibri" w:cs="Calibri"/>
          <w:b/>
          <w:bCs/>
          <w:sz w:val="24"/>
          <w:szCs w:val="24"/>
        </w:rPr>
        <w:t>Regulatory relevance of the AO can be revised with point of view of early life stages.</w:t>
      </w:r>
    </w:p>
    <w:p w14:paraId="71598B4B" w14:textId="77777777" w:rsidR="00694174" w:rsidRPr="00694174" w:rsidRDefault="00E51FA6" w:rsidP="00694174">
      <w:pPr>
        <w:pStyle w:val="21"/>
        <w:rPr>
          <w:rFonts w:ascii="Calibri" w:hAnsi="Calibri" w:cs="Calibri"/>
          <w:color w:val="0070C0"/>
          <w:sz w:val="24"/>
          <w:szCs w:val="24"/>
        </w:rPr>
      </w:pPr>
      <w:r w:rsidRPr="009E1302">
        <w:rPr>
          <w:rFonts w:ascii="Calibri" w:hAnsi="Calibri" w:cs="Calibri"/>
          <w:b/>
          <w:bCs/>
          <w:color w:val="0070C0"/>
          <w:sz w:val="24"/>
          <w:szCs w:val="24"/>
        </w:rPr>
        <w:t>Authors’ response</w:t>
      </w:r>
      <w:r w:rsidRPr="009E1302">
        <w:rPr>
          <w:rFonts w:ascii="Calibri" w:hAnsi="Calibri" w:cs="Calibri"/>
          <w:color w:val="0070C0"/>
          <w:sz w:val="24"/>
          <w:szCs w:val="24"/>
        </w:rPr>
        <w:t>:</w:t>
      </w:r>
      <w:r>
        <w:rPr>
          <w:rFonts w:ascii="Calibri" w:hAnsi="Calibri" w:cs="Calibri" w:hint="eastAsia"/>
          <w:color w:val="0070C0"/>
          <w:sz w:val="24"/>
          <w:szCs w:val="24"/>
        </w:rPr>
        <w:t xml:space="preserve"> </w:t>
      </w:r>
      <w:r w:rsidR="00694174" w:rsidRPr="00694174">
        <w:rPr>
          <w:rFonts w:ascii="Calibri" w:hAnsi="Calibri" w:cs="Calibri"/>
          <w:color w:val="0070C0"/>
          <w:sz w:val="24"/>
          <w:szCs w:val="24"/>
        </w:rPr>
        <w:t>We revised the "Considerations for Potential Applications of the AOP" section of all six AOP main pages (AOP 324, 325, 326, 331, 332 and 333) to address early life stages explicitly. The changes are:</w:t>
      </w:r>
    </w:p>
    <w:p w14:paraId="59E1F0CD" w14:textId="091DC10E" w:rsidR="00694174" w:rsidRPr="00694174" w:rsidRDefault="00694174" w:rsidP="00694174">
      <w:pPr>
        <w:pStyle w:val="21"/>
        <w:numPr>
          <w:ilvl w:val="0"/>
          <w:numId w:val="2"/>
        </w:numPr>
        <w:rPr>
          <w:rFonts w:ascii="Calibri" w:hAnsi="Calibri" w:cs="Calibri"/>
          <w:color w:val="0070C0"/>
          <w:sz w:val="24"/>
          <w:szCs w:val="24"/>
        </w:rPr>
      </w:pPr>
      <w:r w:rsidRPr="00694174">
        <w:rPr>
          <w:rFonts w:ascii="Calibri" w:hAnsi="Calibri" w:cs="Calibri"/>
          <w:color w:val="0070C0"/>
          <w:sz w:val="24"/>
          <w:szCs w:val="24"/>
        </w:rPr>
        <w:t xml:space="preserve">Sensitivity of early life stages. Each page now states that embryonic, larval and juvenile stages are expected to be particularly sensitive to the pathway, and that the AOP is especially relevant for interpreting growth effects in early-life-stage tests. The rationale is specific to each pathway. For AOP 324 it is the high growth and proliferation rates. For AOP </w:t>
      </w:r>
      <w:r w:rsidRPr="00694174">
        <w:rPr>
          <w:rFonts w:ascii="Calibri" w:hAnsi="Calibri" w:cs="Calibri"/>
          <w:color w:val="0070C0"/>
          <w:sz w:val="24"/>
          <w:szCs w:val="24"/>
        </w:rPr>
        <w:lastRenderedPageBreak/>
        <w:t>325 it is the dependence of growth on viable cell populations during development. For AOP 326, 331, 332 and 333 it is the dependence on sustained ATP supply, plus viable cell populations (AOP 331, 333) or high proliferation rates (AOP 332).</w:t>
      </w:r>
    </w:p>
    <w:p w14:paraId="4BDFD5B8" w14:textId="799A0D2F" w:rsidR="00694174" w:rsidRPr="00694174" w:rsidRDefault="00694174" w:rsidP="00694174">
      <w:pPr>
        <w:pStyle w:val="21"/>
        <w:numPr>
          <w:ilvl w:val="0"/>
          <w:numId w:val="2"/>
        </w:numPr>
        <w:rPr>
          <w:rFonts w:ascii="Calibri" w:hAnsi="Calibri" w:cs="Calibri"/>
          <w:color w:val="0070C0"/>
          <w:sz w:val="24"/>
          <w:szCs w:val="24"/>
        </w:rPr>
      </w:pPr>
      <w:r w:rsidRPr="00694174">
        <w:rPr>
          <w:rFonts w:ascii="Calibri" w:hAnsi="Calibri" w:cs="Calibri"/>
          <w:color w:val="0070C0"/>
          <w:sz w:val="24"/>
          <w:szCs w:val="24"/>
        </w:rPr>
        <w:t>Regulatory relevance of the AO. Each page now notes that reduced early-life-stage growth can compromise survival, development and reproductive success. These are outcomes of demographic significance for population sustainability, which strengthens the regulatory relevance of the AO in line with the Handbook (Section 2J).</w:t>
      </w:r>
    </w:p>
    <w:p w14:paraId="6516C73D" w14:textId="71AED929" w:rsidR="00694174" w:rsidRPr="00694174" w:rsidRDefault="00694174" w:rsidP="00694174">
      <w:pPr>
        <w:pStyle w:val="21"/>
        <w:numPr>
          <w:ilvl w:val="0"/>
          <w:numId w:val="2"/>
        </w:numPr>
        <w:rPr>
          <w:rFonts w:ascii="Calibri" w:hAnsi="Calibri" w:cs="Calibri"/>
          <w:color w:val="0070C0"/>
          <w:sz w:val="24"/>
          <w:szCs w:val="24"/>
        </w:rPr>
      </w:pPr>
      <w:r w:rsidRPr="00694174">
        <w:rPr>
          <w:rFonts w:ascii="Calibri" w:hAnsi="Calibri" w:cs="Calibri"/>
          <w:color w:val="0070C0"/>
          <w:sz w:val="24"/>
          <w:szCs w:val="24"/>
        </w:rPr>
        <w:t>Assays and test systems. We added that NAM and cytotoxicity assays based on embryonic cells or embryo models can be mapped to the AOPs. In AOP 324 and 325 we also specified the relevant early-life-stage context for growth tests, such as TG 210.</w:t>
      </w:r>
    </w:p>
    <w:p w14:paraId="35E64F5E" w14:textId="6749F753" w:rsidR="00694174" w:rsidRDefault="00694174" w:rsidP="00694174">
      <w:pPr>
        <w:pStyle w:val="21"/>
        <w:numPr>
          <w:ilvl w:val="0"/>
          <w:numId w:val="2"/>
        </w:numPr>
        <w:rPr>
          <w:rFonts w:ascii="Calibri" w:hAnsi="Calibri" w:cs="Calibri"/>
          <w:color w:val="0070C0"/>
          <w:sz w:val="24"/>
          <w:szCs w:val="24"/>
        </w:rPr>
      </w:pPr>
      <w:r w:rsidRPr="00694174">
        <w:rPr>
          <w:rFonts w:ascii="Calibri" w:hAnsi="Calibri" w:cs="Calibri"/>
          <w:color w:val="0070C0"/>
          <w:sz w:val="24"/>
          <w:szCs w:val="24"/>
        </w:rPr>
        <w:t>Weight of evidence and research needs. Life stage was added to the weight-of-evidence considerations (AOP 326, 331, 333), and early life stages were added to the method-development and future-research needs (all six AOPs).</w:t>
      </w:r>
    </w:p>
    <w:p w14:paraId="1F27562B" w14:textId="0FDBE562" w:rsidR="0018719F" w:rsidRDefault="0018719F" w:rsidP="0018719F">
      <w:pPr>
        <w:pStyle w:val="21"/>
        <w:rPr>
          <w:rFonts w:ascii="Calibri" w:hAnsi="Calibri" w:cs="Calibri"/>
          <w:color w:val="EE0000"/>
          <w:sz w:val="24"/>
          <w:szCs w:val="24"/>
        </w:rPr>
      </w:pPr>
      <w:r w:rsidRPr="0018719F">
        <w:rPr>
          <w:rFonts w:ascii="Calibri" w:hAnsi="Calibri" w:cs="Calibri"/>
          <w:color w:val="EE0000"/>
          <w:sz w:val="24"/>
          <w:szCs w:val="24"/>
        </w:rPr>
        <w:t xml:space="preserve">Coach’s comment: It </w:t>
      </w:r>
      <w:r w:rsidR="009D715F">
        <w:rPr>
          <w:rFonts w:ascii="Calibri" w:hAnsi="Calibri" w:cs="Calibri"/>
          <w:color w:val="EE0000"/>
          <w:sz w:val="24"/>
          <w:szCs w:val="24"/>
        </w:rPr>
        <w:t xml:space="preserve">does not </w:t>
      </w:r>
      <w:r w:rsidRPr="0018719F">
        <w:rPr>
          <w:rFonts w:ascii="Calibri" w:hAnsi="Calibri" w:cs="Calibri"/>
          <w:color w:val="EE0000"/>
          <w:sz w:val="24"/>
          <w:szCs w:val="24"/>
        </w:rPr>
        <w:t xml:space="preserve">seem that the “Considerations for Potential Applications of the AOP” sections </w:t>
      </w:r>
      <w:r w:rsidR="00817241">
        <w:rPr>
          <w:rFonts w:ascii="Calibri" w:hAnsi="Calibri" w:cs="Calibri"/>
          <w:color w:val="EE0000"/>
          <w:sz w:val="24"/>
          <w:szCs w:val="24"/>
        </w:rPr>
        <w:t xml:space="preserve">in the AOP top pages </w:t>
      </w:r>
      <w:r w:rsidRPr="0018719F">
        <w:rPr>
          <w:rFonts w:ascii="Calibri" w:hAnsi="Calibri" w:cs="Calibri"/>
          <w:color w:val="EE0000"/>
          <w:sz w:val="24"/>
          <w:szCs w:val="24"/>
        </w:rPr>
        <w:t>have been changed in the AOP-Wiki.</w:t>
      </w:r>
    </w:p>
    <w:p w14:paraId="3E407564" w14:textId="1FDF56E8" w:rsidR="00A7374B" w:rsidRPr="00A7374B" w:rsidRDefault="00A7374B" w:rsidP="00A7374B">
      <w:pPr>
        <w:pStyle w:val="21"/>
        <w:rPr>
          <w:rFonts w:ascii="Calibri" w:hAnsi="Calibri" w:cs="Calibri"/>
          <w:color w:val="44A921" w:themeColor="accent3" w:themeShade="BF"/>
          <w:sz w:val="24"/>
          <w:szCs w:val="24"/>
        </w:rPr>
      </w:pPr>
      <w:r w:rsidRPr="00A7374B">
        <w:rPr>
          <w:rFonts w:ascii="Calibri" w:hAnsi="Calibri" w:cs="Calibri"/>
          <w:color w:val="44A921" w:themeColor="accent3" w:themeShade="BF"/>
          <w:sz w:val="24"/>
          <w:szCs w:val="24"/>
        </w:rPr>
        <w:t>Coach’s comment</w:t>
      </w:r>
      <w:r>
        <w:rPr>
          <w:rFonts w:ascii="Calibri" w:hAnsi="Calibri" w:cs="Calibri"/>
          <w:color w:val="44A921" w:themeColor="accent3" w:themeShade="BF"/>
          <w:sz w:val="24"/>
          <w:szCs w:val="24"/>
        </w:rPr>
        <w:t xml:space="preserve">: </w:t>
      </w:r>
      <w:r w:rsidR="001B6924">
        <w:rPr>
          <w:rFonts w:ascii="Calibri" w:hAnsi="Calibri" w:cs="Calibri"/>
          <w:color w:val="44A921" w:themeColor="accent3" w:themeShade="BF"/>
          <w:sz w:val="24"/>
          <w:szCs w:val="24"/>
        </w:rPr>
        <w:t>Okay.</w:t>
      </w:r>
    </w:p>
    <w:p w14:paraId="11277EF1" w14:textId="77777777" w:rsidR="00A7374B" w:rsidRPr="0018719F" w:rsidRDefault="00A7374B" w:rsidP="0018719F">
      <w:pPr>
        <w:pStyle w:val="21"/>
        <w:rPr>
          <w:rFonts w:ascii="Calibri" w:hAnsi="Calibri" w:cs="Calibri"/>
          <w:color w:val="EE0000"/>
          <w:sz w:val="24"/>
          <w:szCs w:val="24"/>
        </w:rPr>
      </w:pPr>
    </w:p>
    <w:p w14:paraId="6D88140F" w14:textId="77777777" w:rsidR="001C4D98" w:rsidRPr="001C4D98" w:rsidRDefault="001C4D98">
      <w:pPr>
        <w:pStyle w:val="21"/>
        <w:rPr>
          <w:rFonts w:ascii="Calibri" w:hAnsi="Calibri" w:cs="Calibri"/>
          <w:sz w:val="24"/>
          <w:szCs w:val="24"/>
        </w:rPr>
      </w:pPr>
    </w:p>
    <w:p w14:paraId="36B3DCF1" w14:textId="77777777" w:rsidR="001C4D98" w:rsidRPr="001C4D98" w:rsidRDefault="001C4D98" w:rsidP="001C4D98">
      <w:pPr>
        <w:pStyle w:val="21"/>
        <w:rPr>
          <w:rFonts w:ascii="Calibri" w:hAnsi="Calibri" w:cs="Calibri"/>
          <w:b/>
          <w:bCs/>
          <w:sz w:val="24"/>
          <w:szCs w:val="24"/>
        </w:rPr>
      </w:pPr>
      <w:r w:rsidRPr="001C4D98">
        <w:rPr>
          <w:rFonts w:ascii="Calibri" w:hAnsi="Calibri" w:cs="Calibri"/>
          <w:b/>
          <w:bCs/>
          <w:sz w:val="24"/>
          <w:szCs w:val="24"/>
        </w:rPr>
        <w:t>3. The level of support for Essentiality of the KEs can be revised to clarify the description of AO (in terms of AOP263) in the table.</w:t>
      </w:r>
    </w:p>
    <w:p w14:paraId="2D2FD71A" w14:textId="480E1C9A" w:rsidR="001C4D98" w:rsidRPr="001C4D98" w:rsidRDefault="001C4D98" w:rsidP="001C4D98">
      <w:pPr>
        <w:pStyle w:val="21"/>
        <w:rPr>
          <w:rFonts w:ascii="Calibri" w:hAnsi="Calibri" w:cs="Calibri"/>
          <w:sz w:val="24"/>
          <w:szCs w:val="24"/>
        </w:rPr>
      </w:pPr>
      <w:r w:rsidRPr="009E1302">
        <w:rPr>
          <w:rFonts w:ascii="Calibri" w:hAnsi="Calibri" w:cs="Calibri"/>
          <w:b/>
          <w:bCs/>
          <w:color w:val="0070C0"/>
          <w:sz w:val="24"/>
          <w:szCs w:val="24"/>
        </w:rPr>
        <w:t>Authors’ response</w:t>
      </w:r>
      <w:r w:rsidRPr="009E1302">
        <w:rPr>
          <w:rFonts w:ascii="Calibri" w:hAnsi="Calibri" w:cs="Calibri"/>
          <w:color w:val="0070C0"/>
          <w:sz w:val="24"/>
          <w:szCs w:val="24"/>
        </w:rPr>
        <w:t>:</w:t>
      </w:r>
      <w:r>
        <w:rPr>
          <w:rFonts w:ascii="Calibri" w:hAnsi="Calibri" w:cs="Calibri" w:hint="eastAsia"/>
          <w:color w:val="0070C0"/>
          <w:sz w:val="24"/>
          <w:szCs w:val="24"/>
        </w:rPr>
        <w:t xml:space="preserve"> </w:t>
      </w:r>
      <w:r>
        <w:rPr>
          <w:rFonts w:ascii="Calibri" w:hAnsi="Calibri" w:cs="Calibri"/>
          <w:color w:val="0070C0"/>
          <w:sz w:val="24"/>
          <w:szCs w:val="24"/>
        </w:rPr>
        <w:t xml:space="preserve">As AO is the final event and does not have a downstream KE, the essentiality assessment </w:t>
      </w:r>
      <w:r w:rsidR="009B50C8">
        <w:rPr>
          <w:rFonts w:ascii="Calibri" w:hAnsi="Calibri" w:cs="Calibri"/>
          <w:color w:val="0070C0"/>
          <w:sz w:val="24"/>
          <w:szCs w:val="24"/>
        </w:rPr>
        <w:t xml:space="preserve">(which </w:t>
      </w:r>
      <w:proofErr w:type="gramStart"/>
      <w:r w:rsidR="009B50C8">
        <w:rPr>
          <w:rFonts w:ascii="Calibri" w:hAnsi="Calibri" w:cs="Calibri"/>
          <w:color w:val="0070C0"/>
          <w:sz w:val="24"/>
          <w:szCs w:val="24"/>
        </w:rPr>
        <w:t>by def</w:t>
      </w:r>
      <w:r w:rsidR="0018719F">
        <w:rPr>
          <w:rFonts w:ascii="Calibri" w:hAnsi="Calibri" w:cs="Calibri"/>
          <w:color w:val="0070C0"/>
          <w:sz w:val="24"/>
          <w:szCs w:val="24"/>
        </w:rPr>
        <w:t>ini</w:t>
      </w:r>
      <w:r w:rsidR="009B50C8">
        <w:rPr>
          <w:rFonts w:ascii="Calibri" w:hAnsi="Calibri" w:cs="Calibri"/>
          <w:color w:val="0070C0"/>
          <w:sz w:val="24"/>
          <w:szCs w:val="24"/>
        </w:rPr>
        <w:t>tion as</w:t>
      </w:r>
      <w:r w:rsidR="0018719F">
        <w:rPr>
          <w:rFonts w:ascii="Calibri" w:hAnsi="Calibri" w:cs="Calibri"/>
          <w:color w:val="0070C0"/>
          <w:sz w:val="24"/>
          <w:szCs w:val="24"/>
        </w:rPr>
        <w:t>s</w:t>
      </w:r>
      <w:r w:rsidR="009B50C8">
        <w:rPr>
          <w:rFonts w:ascii="Calibri" w:hAnsi="Calibri" w:cs="Calibri"/>
          <w:color w:val="0070C0"/>
          <w:sz w:val="24"/>
          <w:szCs w:val="24"/>
        </w:rPr>
        <w:t>esses</w:t>
      </w:r>
      <w:proofErr w:type="gramEnd"/>
      <w:r w:rsidR="009B50C8">
        <w:rPr>
          <w:rFonts w:ascii="Calibri" w:hAnsi="Calibri" w:cs="Calibri"/>
          <w:color w:val="0070C0"/>
          <w:sz w:val="24"/>
          <w:szCs w:val="24"/>
        </w:rPr>
        <w:t xml:space="preserve"> the impact of upstream KE as the main target) </w:t>
      </w:r>
      <w:r>
        <w:rPr>
          <w:rFonts w:ascii="Calibri" w:hAnsi="Calibri" w:cs="Calibri"/>
          <w:color w:val="0070C0"/>
          <w:sz w:val="24"/>
          <w:szCs w:val="24"/>
        </w:rPr>
        <w:t>of the AO is considered not needed</w:t>
      </w:r>
      <w:r w:rsidR="00A3462D">
        <w:rPr>
          <w:rFonts w:ascii="Calibri" w:hAnsi="Calibri" w:cs="Calibri"/>
          <w:color w:val="0070C0"/>
          <w:sz w:val="24"/>
          <w:szCs w:val="24"/>
        </w:rPr>
        <w:t>. But the evidence support for the AO was assessed in terms of biological plausib</w:t>
      </w:r>
      <w:r w:rsidR="0018719F">
        <w:rPr>
          <w:rFonts w:ascii="Calibri" w:hAnsi="Calibri" w:cs="Calibri"/>
          <w:color w:val="0070C0"/>
          <w:sz w:val="24"/>
          <w:szCs w:val="24"/>
        </w:rPr>
        <w:t>i</w:t>
      </w:r>
      <w:r w:rsidR="00A3462D">
        <w:rPr>
          <w:rFonts w:ascii="Calibri" w:hAnsi="Calibri" w:cs="Calibri"/>
          <w:color w:val="0070C0"/>
          <w:sz w:val="24"/>
          <w:szCs w:val="24"/>
        </w:rPr>
        <w:t xml:space="preserve">lity and empirical support sections. </w:t>
      </w:r>
      <w:proofErr w:type="gramStart"/>
      <w:r w:rsidR="00A3462D">
        <w:rPr>
          <w:rFonts w:ascii="Calibri" w:hAnsi="Calibri" w:cs="Calibri"/>
          <w:color w:val="0070C0"/>
          <w:sz w:val="24"/>
          <w:szCs w:val="24"/>
        </w:rPr>
        <w:t>Therefore</w:t>
      </w:r>
      <w:proofErr w:type="gramEnd"/>
      <w:r w:rsidR="00A3462D">
        <w:rPr>
          <w:rFonts w:ascii="Calibri" w:hAnsi="Calibri" w:cs="Calibri"/>
          <w:color w:val="0070C0"/>
          <w:sz w:val="24"/>
          <w:szCs w:val="24"/>
        </w:rPr>
        <w:t xml:space="preserve"> no change was made.</w:t>
      </w:r>
    </w:p>
    <w:p w14:paraId="6F116AE9" w14:textId="769A583E" w:rsidR="001C4D98" w:rsidRPr="0018719F" w:rsidRDefault="0018719F">
      <w:pPr>
        <w:pStyle w:val="21"/>
        <w:rPr>
          <w:rFonts w:ascii="Calibri" w:hAnsi="Calibri" w:cs="Calibri"/>
          <w:color w:val="EE0000"/>
          <w:sz w:val="24"/>
          <w:szCs w:val="24"/>
        </w:rPr>
      </w:pPr>
      <w:r w:rsidRPr="0018719F">
        <w:rPr>
          <w:rFonts w:ascii="Calibri" w:hAnsi="Calibri" w:cs="Calibri"/>
          <w:color w:val="EE0000"/>
          <w:sz w:val="24"/>
          <w:szCs w:val="24"/>
        </w:rPr>
        <w:t>Coach’s comment: Okay.</w:t>
      </w:r>
    </w:p>
    <w:p w14:paraId="3E9A2B2E" w14:textId="77777777" w:rsidR="0018719F" w:rsidRPr="001C4D98" w:rsidRDefault="0018719F">
      <w:pPr>
        <w:pStyle w:val="21"/>
        <w:rPr>
          <w:rFonts w:ascii="Calibri" w:hAnsi="Calibri" w:cs="Calibri"/>
          <w:sz w:val="24"/>
          <w:szCs w:val="24"/>
        </w:rPr>
      </w:pPr>
    </w:p>
    <w:p w14:paraId="331431CE" w14:textId="1B02BB76" w:rsidR="003D09C2" w:rsidRPr="00C543FE" w:rsidRDefault="00A033FD">
      <w:pPr>
        <w:pStyle w:val="21"/>
        <w:rPr>
          <w:rFonts w:ascii="Calibri" w:hAnsi="Calibri" w:cs="Calibri"/>
          <w:b/>
          <w:bCs/>
          <w:sz w:val="24"/>
          <w:szCs w:val="24"/>
        </w:rPr>
      </w:pPr>
      <w:r>
        <w:rPr>
          <w:rFonts w:ascii="Calibri" w:hAnsi="Calibri" w:cs="Calibri"/>
          <w:b/>
          <w:bCs/>
          <w:sz w:val="24"/>
          <w:szCs w:val="24"/>
        </w:rPr>
        <w:t xml:space="preserve">4. </w:t>
      </w:r>
      <w:r w:rsidR="224BF531" w:rsidRPr="00C543FE">
        <w:rPr>
          <w:rFonts w:ascii="Calibri" w:hAnsi="Calibri" w:cs="Calibri"/>
          <w:b/>
          <w:bCs/>
          <w:sz w:val="24"/>
          <w:szCs w:val="24"/>
        </w:rPr>
        <w:t>MIE1115 Increase in ROS is cellular and KE1392 Increase in Oxidative Stress is molecular. Some rational starting with cellular event leading to molecular event may be added.</w:t>
      </w:r>
    </w:p>
    <w:p w14:paraId="6F4A2CEE" w14:textId="63B0B5EB" w:rsidR="009E0B82" w:rsidRPr="009E1302" w:rsidRDefault="009E0B82">
      <w:pPr>
        <w:pStyle w:val="21"/>
        <w:rPr>
          <w:rFonts w:ascii="Calibri" w:hAnsi="Calibri" w:cs="Calibri"/>
        </w:rPr>
      </w:pPr>
      <w:r w:rsidRPr="009E1302">
        <w:rPr>
          <w:rFonts w:ascii="Calibri" w:hAnsi="Calibri" w:cs="Calibri"/>
          <w:b/>
          <w:bCs/>
          <w:color w:val="0070C0"/>
          <w:sz w:val="24"/>
          <w:szCs w:val="24"/>
        </w:rPr>
        <w:t>Authors’ response</w:t>
      </w:r>
      <w:r w:rsidRPr="009E1302">
        <w:rPr>
          <w:rFonts w:ascii="Calibri" w:hAnsi="Calibri" w:cs="Calibri"/>
          <w:color w:val="0070C0"/>
          <w:sz w:val="24"/>
          <w:szCs w:val="24"/>
        </w:rPr>
        <w:t>:</w:t>
      </w:r>
      <w:r>
        <w:rPr>
          <w:rFonts w:ascii="Calibri" w:hAnsi="Calibri" w:cs="Calibri"/>
          <w:color w:val="0070C0"/>
          <w:sz w:val="24"/>
          <w:szCs w:val="24"/>
        </w:rPr>
        <w:t xml:space="preserve"> After a discussion with the coach, we have agreed that this should be further discussed in the Mystery of ROS group, as both levels of organization are </w:t>
      </w:r>
      <w:r w:rsidR="00C543FE">
        <w:rPr>
          <w:rFonts w:ascii="Calibri" w:hAnsi="Calibri" w:cs="Calibri"/>
          <w:color w:val="0070C0"/>
          <w:sz w:val="24"/>
          <w:szCs w:val="24"/>
        </w:rPr>
        <w:t xml:space="preserve">ok, but </w:t>
      </w:r>
      <w:proofErr w:type="gramStart"/>
      <w:r>
        <w:rPr>
          <w:rFonts w:ascii="Calibri" w:hAnsi="Calibri" w:cs="Calibri"/>
          <w:color w:val="0070C0"/>
          <w:sz w:val="24"/>
          <w:szCs w:val="24"/>
        </w:rPr>
        <w:t>context-dependent</w:t>
      </w:r>
      <w:proofErr w:type="gramEnd"/>
      <w:r>
        <w:rPr>
          <w:rFonts w:ascii="Calibri" w:hAnsi="Calibri" w:cs="Calibri"/>
          <w:color w:val="0070C0"/>
          <w:sz w:val="24"/>
          <w:szCs w:val="24"/>
        </w:rPr>
        <w:t xml:space="preserve">. </w:t>
      </w:r>
      <w:proofErr w:type="gramStart"/>
      <w:r>
        <w:rPr>
          <w:rFonts w:ascii="Calibri" w:hAnsi="Calibri" w:cs="Calibri"/>
          <w:color w:val="0070C0"/>
          <w:sz w:val="24"/>
          <w:szCs w:val="24"/>
        </w:rPr>
        <w:t>Therefore</w:t>
      </w:r>
      <w:proofErr w:type="gramEnd"/>
      <w:r>
        <w:rPr>
          <w:rFonts w:ascii="Calibri" w:hAnsi="Calibri" w:cs="Calibri"/>
          <w:color w:val="0070C0"/>
          <w:sz w:val="24"/>
          <w:szCs w:val="24"/>
        </w:rPr>
        <w:t xml:space="preserve"> we did not make any change.</w:t>
      </w:r>
    </w:p>
    <w:p w14:paraId="5E31B897" w14:textId="77777777" w:rsidR="00817241" w:rsidRPr="0018719F" w:rsidRDefault="00817241" w:rsidP="00817241">
      <w:pPr>
        <w:pStyle w:val="21"/>
        <w:rPr>
          <w:rFonts w:ascii="Calibri" w:hAnsi="Calibri" w:cs="Calibri"/>
          <w:color w:val="EE0000"/>
          <w:sz w:val="24"/>
          <w:szCs w:val="24"/>
        </w:rPr>
      </w:pPr>
      <w:r w:rsidRPr="0018719F">
        <w:rPr>
          <w:rFonts w:ascii="Calibri" w:hAnsi="Calibri" w:cs="Calibri"/>
          <w:color w:val="EE0000"/>
          <w:sz w:val="24"/>
          <w:szCs w:val="24"/>
        </w:rPr>
        <w:t>Coach’s comment: Okay.</w:t>
      </w:r>
    </w:p>
    <w:p w14:paraId="357151A6" w14:textId="78FE4014" w:rsidR="7EAE7AC5" w:rsidRPr="009E1302" w:rsidRDefault="7EAE7AC5" w:rsidP="7EAE7AC5">
      <w:pPr>
        <w:pStyle w:val="21"/>
        <w:rPr>
          <w:rFonts w:ascii="Calibri" w:hAnsi="Calibri" w:cs="Calibri"/>
        </w:rPr>
      </w:pPr>
    </w:p>
    <w:p w14:paraId="58D3D4FE" w14:textId="3525B72D" w:rsidR="003D09C2" w:rsidRPr="00C543FE" w:rsidRDefault="00A033FD">
      <w:pPr>
        <w:pStyle w:val="21"/>
        <w:rPr>
          <w:rFonts w:ascii="Calibri" w:hAnsi="Calibri" w:cs="Calibri"/>
          <w:b/>
          <w:bCs/>
          <w:sz w:val="24"/>
          <w:szCs w:val="24"/>
        </w:rPr>
      </w:pPr>
      <w:r>
        <w:rPr>
          <w:rFonts w:ascii="Calibri" w:hAnsi="Calibri" w:cs="Calibri"/>
          <w:b/>
          <w:bCs/>
          <w:sz w:val="24"/>
          <w:szCs w:val="24"/>
        </w:rPr>
        <w:t>5</w:t>
      </w:r>
      <w:r w:rsidR="224BF531" w:rsidRPr="00C543FE">
        <w:rPr>
          <w:rFonts w:ascii="Calibri" w:hAnsi="Calibri" w:cs="Calibri"/>
          <w:b/>
          <w:bCs/>
          <w:sz w:val="24"/>
          <w:szCs w:val="24"/>
        </w:rPr>
        <w:t>. KE155 is defined as "cellular" event, however, "cell" term is not defined.</w:t>
      </w:r>
    </w:p>
    <w:p w14:paraId="2FF4A711" w14:textId="68304029" w:rsidR="00647143" w:rsidRDefault="00647143">
      <w:pPr>
        <w:pStyle w:val="21"/>
        <w:rPr>
          <w:rFonts w:ascii="Calibri" w:hAnsi="Calibri" w:cs="Calibri"/>
          <w:color w:val="0070C0"/>
          <w:sz w:val="24"/>
          <w:szCs w:val="24"/>
        </w:rPr>
      </w:pPr>
      <w:r w:rsidRPr="009E1302">
        <w:rPr>
          <w:rFonts w:ascii="Calibri" w:hAnsi="Calibri" w:cs="Calibri"/>
          <w:b/>
          <w:bCs/>
          <w:color w:val="0070C0"/>
          <w:sz w:val="24"/>
          <w:szCs w:val="24"/>
        </w:rPr>
        <w:t>Authors’ response</w:t>
      </w:r>
      <w:r w:rsidRPr="009E1302">
        <w:rPr>
          <w:rFonts w:ascii="Calibri" w:hAnsi="Calibri" w:cs="Calibri"/>
          <w:color w:val="0070C0"/>
          <w:sz w:val="24"/>
          <w:szCs w:val="24"/>
        </w:rPr>
        <w:t xml:space="preserve">: </w:t>
      </w:r>
      <w:r>
        <w:rPr>
          <w:rFonts w:ascii="Calibri" w:hAnsi="Calibri" w:cs="Calibri"/>
          <w:color w:val="0070C0"/>
          <w:sz w:val="24"/>
          <w:szCs w:val="24"/>
        </w:rPr>
        <w:t>We have however added the general cell and organ terms to the KE page.</w:t>
      </w:r>
    </w:p>
    <w:p w14:paraId="522ACEBC" w14:textId="6ED6ABBD" w:rsidR="00647143" w:rsidRPr="009E1302" w:rsidRDefault="00647143">
      <w:pPr>
        <w:pStyle w:val="21"/>
        <w:rPr>
          <w:rFonts w:ascii="Calibri" w:hAnsi="Calibri" w:cs="Calibri"/>
        </w:rPr>
      </w:pPr>
      <w:r>
        <w:rPr>
          <w:noProof/>
        </w:rPr>
        <w:drawing>
          <wp:inline distT="0" distB="0" distL="0" distR="0" wp14:anchorId="3C875FE1" wp14:editId="164E1B68">
            <wp:extent cx="3043237" cy="1815270"/>
            <wp:effectExtent l="0" t="0" r="5080" b="0"/>
            <wp:docPr id="1904154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154723" name=""/>
                    <pic:cNvPicPr/>
                  </pic:nvPicPr>
                  <pic:blipFill>
                    <a:blip r:embed="rId10"/>
                    <a:stretch>
                      <a:fillRect/>
                    </a:stretch>
                  </pic:blipFill>
                  <pic:spPr>
                    <a:xfrm>
                      <a:off x="0" y="0"/>
                      <a:ext cx="3051749" cy="1820347"/>
                    </a:xfrm>
                    <a:prstGeom prst="rect">
                      <a:avLst/>
                    </a:prstGeom>
                  </pic:spPr>
                </pic:pic>
              </a:graphicData>
            </a:graphic>
          </wp:inline>
        </w:drawing>
      </w:r>
    </w:p>
    <w:p w14:paraId="34836C3A" w14:textId="77777777" w:rsidR="00817241" w:rsidRPr="0018719F" w:rsidRDefault="00817241" w:rsidP="00817241">
      <w:pPr>
        <w:pStyle w:val="21"/>
        <w:rPr>
          <w:rFonts w:ascii="Calibri" w:hAnsi="Calibri" w:cs="Calibri"/>
          <w:color w:val="EE0000"/>
          <w:sz w:val="24"/>
          <w:szCs w:val="24"/>
        </w:rPr>
      </w:pPr>
      <w:r w:rsidRPr="0018719F">
        <w:rPr>
          <w:rFonts w:ascii="Calibri" w:hAnsi="Calibri" w:cs="Calibri"/>
          <w:color w:val="EE0000"/>
          <w:sz w:val="24"/>
          <w:szCs w:val="24"/>
        </w:rPr>
        <w:t>Coach’s comment: Okay.</w:t>
      </w:r>
    </w:p>
    <w:p w14:paraId="223D4A72" w14:textId="54F79DC5" w:rsidR="7EAE7AC5" w:rsidRPr="009E1302" w:rsidRDefault="7EAE7AC5" w:rsidP="7EAE7AC5">
      <w:pPr>
        <w:pStyle w:val="21"/>
        <w:rPr>
          <w:rFonts w:ascii="Calibri" w:hAnsi="Calibri" w:cs="Calibri"/>
        </w:rPr>
      </w:pPr>
    </w:p>
    <w:p w14:paraId="3E7161B2" w14:textId="75ECE4EF" w:rsidR="003D09C2" w:rsidRPr="00C543FE" w:rsidRDefault="00A033FD">
      <w:pPr>
        <w:pStyle w:val="21"/>
        <w:rPr>
          <w:rFonts w:ascii="Calibri" w:hAnsi="Calibri" w:cs="Calibri"/>
          <w:b/>
          <w:bCs/>
          <w:sz w:val="24"/>
          <w:szCs w:val="24"/>
        </w:rPr>
      </w:pPr>
      <w:r>
        <w:rPr>
          <w:rFonts w:ascii="Calibri" w:hAnsi="Calibri" w:cs="Calibri"/>
          <w:b/>
          <w:bCs/>
          <w:sz w:val="24"/>
          <w:szCs w:val="24"/>
        </w:rPr>
        <w:t>6</w:t>
      </w:r>
      <w:r w:rsidR="224BF531" w:rsidRPr="00C543FE">
        <w:rPr>
          <w:rFonts w:ascii="Calibri" w:hAnsi="Calibri" w:cs="Calibri"/>
          <w:b/>
          <w:bCs/>
          <w:sz w:val="24"/>
          <w:szCs w:val="24"/>
        </w:rPr>
        <w:t>. The life stage applicability domain is early life stages such as embryo and juvenile in current AO (KE1521) Decrease, Growth. How It is Measured or Detected can be updated with measurements.</w:t>
      </w:r>
    </w:p>
    <w:p w14:paraId="0BD73295" w14:textId="63EF1CF5" w:rsidR="004573E3" w:rsidRPr="009E1302" w:rsidRDefault="004573E3" w:rsidP="004573E3">
      <w:pPr>
        <w:pStyle w:val="21"/>
        <w:rPr>
          <w:rFonts w:ascii="Calibri" w:hAnsi="Calibri" w:cs="Calibri"/>
          <w:color w:val="0070C0"/>
          <w:sz w:val="24"/>
          <w:szCs w:val="24"/>
        </w:rPr>
      </w:pPr>
      <w:r w:rsidRPr="009E1302">
        <w:rPr>
          <w:rFonts w:ascii="Calibri" w:hAnsi="Calibri" w:cs="Calibri"/>
          <w:b/>
          <w:bCs/>
          <w:color w:val="0070C0"/>
          <w:sz w:val="24"/>
          <w:szCs w:val="24"/>
        </w:rPr>
        <w:lastRenderedPageBreak/>
        <w:t>Authors’ response</w:t>
      </w:r>
      <w:r w:rsidRPr="009E1302">
        <w:rPr>
          <w:rFonts w:ascii="Calibri" w:hAnsi="Calibri" w:cs="Calibri"/>
          <w:color w:val="0070C0"/>
          <w:sz w:val="24"/>
          <w:szCs w:val="24"/>
        </w:rPr>
        <w:t>: Agree</w:t>
      </w:r>
      <w:r w:rsidR="00647143">
        <w:rPr>
          <w:rFonts w:ascii="Calibri" w:hAnsi="Calibri" w:cs="Calibri"/>
          <w:color w:val="0070C0"/>
          <w:sz w:val="24"/>
          <w:szCs w:val="24"/>
        </w:rPr>
        <w:t>d</w:t>
      </w:r>
      <w:r w:rsidRPr="009E1302">
        <w:rPr>
          <w:rFonts w:ascii="Calibri" w:hAnsi="Calibri" w:cs="Calibri"/>
          <w:color w:val="0070C0"/>
          <w:sz w:val="24"/>
          <w:szCs w:val="24"/>
        </w:rPr>
        <w:t xml:space="preserve">. We have added the following text to this section (marked with non-endorsed: </w:t>
      </w:r>
    </w:p>
    <w:p w14:paraId="1B5F33E7" w14:textId="7629A3F5" w:rsidR="004573E3" w:rsidRDefault="009E0B82">
      <w:pPr>
        <w:pStyle w:val="21"/>
        <w:rPr>
          <w:rFonts w:ascii="Calibri" w:hAnsi="Calibri" w:cs="Calibri"/>
        </w:rPr>
      </w:pPr>
      <w:r>
        <w:rPr>
          <w:noProof/>
        </w:rPr>
        <w:drawing>
          <wp:inline distT="0" distB="0" distL="0" distR="0" wp14:anchorId="3683D867" wp14:editId="541F8F6A">
            <wp:extent cx="4203980" cy="5548312"/>
            <wp:effectExtent l="0" t="0" r="6350" b="0"/>
            <wp:docPr id="1020131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131896" name=""/>
                    <pic:cNvPicPr/>
                  </pic:nvPicPr>
                  <pic:blipFill>
                    <a:blip r:embed="rId11"/>
                    <a:stretch>
                      <a:fillRect/>
                    </a:stretch>
                  </pic:blipFill>
                  <pic:spPr>
                    <a:xfrm>
                      <a:off x="0" y="0"/>
                      <a:ext cx="4210240" cy="5556574"/>
                    </a:xfrm>
                    <a:prstGeom prst="rect">
                      <a:avLst/>
                    </a:prstGeom>
                  </pic:spPr>
                </pic:pic>
              </a:graphicData>
            </a:graphic>
          </wp:inline>
        </w:drawing>
      </w:r>
    </w:p>
    <w:p w14:paraId="45A2947A" w14:textId="54F4250B" w:rsidR="009E0B82" w:rsidRDefault="009E0B82">
      <w:pPr>
        <w:pStyle w:val="21"/>
        <w:rPr>
          <w:rFonts w:ascii="Calibri" w:hAnsi="Calibri" w:cs="Calibri"/>
        </w:rPr>
      </w:pPr>
      <w:r>
        <w:rPr>
          <w:noProof/>
        </w:rPr>
        <w:lastRenderedPageBreak/>
        <w:drawing>
          <wp:inline distT="0" distB="0" distL="0" distR="0" wp14:anchorId="353DF6E8" wp14:editId="21B255E6">
            <wp:extent cx="3721903" cy="4710112"/>
            <wp:effectExtent l="0" t="0" r="0" b="0"/>
            <wp:docPr id="414270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70195" name=""/>
                    <pic:cNvPicPr/>
                  </pic:nvPicPr>
                  <pic:blipFill>
                    <a:blip r:embed="rId12"/>
                    <a:stretch>
                      <a:fillRect/>
                    </a:stretch>
                  </pic:blipFill>
                  <pic:spPr>
                    <a:xfrm>
                      <a:off x="0" y="0"/>
                      <a:ext cx="3728679" cy="4718687"/>
                    </a:xfrm>
                    <a:prstGeom prst="rect">
                      <a:avLst/>
                    </a:prstGeom>
                  </pic:spPr>
                </pic:pic>
              </a:graphicData>
            </a:graphic>
          </wp:inline>
        </w:drawing>
      </w:r>
    </w:p>
    <w:p w14:paraId="7F69DB75" w14:textId="77777777" w:rsidR="009E0B82" w:rsidRPr="009E1302" w:rsidRDefault="009E0B82">
      <w:pPr>
        <w:pStyle w:val="21"/>
        <w:rPr>
          <w:rFonts w:ascii="Calibri" w:hAnsi="Calibri" w:cs="Calibri"/>
        </w:rPr>
      </w:pPr>
    </w:p>
    <w:p w14:paraId="30DBC44A" w14:textId="77777777" w:rsidR="00817241" w:rsidRPr="0018719F" w:rsidRDefault="00817241" w:rsidP="00817241">
      <w:pPr>
        <w:pStyle w:val="21"/>
        <w:rPr>
          <w:rFonts w:ascii="Calibri" w:hAnsi="Calibri" w:cs="Calibri"/>
          <w:color w:val="EE0000"/>
          <w:sz w:val="24"/>
          <w:szCs w:val="24"/>
        </w:rPr>
      </w:pPr>
      <w:r w:rsidRPr="0018719F">
        <w:rPr>
          <w:rFonts w:ascii="Calibri" w:hAnsi="Calibri" w:cs="Calibri"/>
          <w:color w:val="EE0000"/>
          <w:sz w:val="24"/>
          <w:szCs w:val="24"/>
        </w:rPr>
        <w:t>Coach’s comment: Okay.</w:t>
      </w:r>
    </w:p>
    <w:p w14:paraId="3E08DBC2" w14:textId="27AC771A" w:rsidR="7EAE7AC5" w:rsidRPr="009E1302" w:rsidRDefault="7EAE7AC5" w:rsidP="7EAE7AC5">
      <w:pPr>
        <w:pStyle w:val="21"/>
        <w:rPr>
          <w:rFonts w:ascii="Calibri" w:hAnsi="Calibri" w:cs="Calibri"/>
        </w:rPr>
      </w:pPr>
    </w:p>
    <w:p w14:paraId="1D586665" w14:textId="505CBAA7" w:rsidR="003D09C2" w:rsidRPr="00C543FE" w:rsidRDefault="00A033FD">
      <w:pPr>
        <w:pStyle w:val="21"/>
        <w:rPr>
          <w:rFonts w:ascii="Calibri" w:hAnsi="Calibri" w:cs="Calibri"/>
          <w:b/>
          <w:bCs/>
          <w:sz w:val="24"/>
          <w:szCs w:val="24"/>
        </w:rPr>
      </w:pPr>
      <w:r>
        <w:rPr>
          <w:rFonts w:ascii="Calibri" w:hAnsi="Calibri" w:cs="Calibri"/>
          <w:b/>
          <w:bCs/>
          <w:sz w:val="24"/>
          <w:szCs w:val="24"/>
        </w:rPr>
        <w:t>7</w:t>
      </w:r>
      <w:r w:rsidR="224BF531" w:rsidRPr="00C543FE">
        <w:rPr>
          <w:rFonts w:ascii="Calibri" w:hAnsi="Calibri" w:cs="Calibri"/>
          <w:b/>
          <w:bCs/>
          <w:sz w:val="24"/>
          <w:szCs w:val="24"/>
        </w:rPr>
        <w:t xml:space="preserve">. Taxonomic Applicability </w:t>
      </w:r>
      <w:r w:rsidR="224BF531" w:rsidRPr="00316793">
        <w:rPr>
          <w:rFonts w:ascii="Calibri" w:hAnsi="Calibri" w:cs="Calibri"/>
          <w:b/>
          <w:bCs/>
          <w:sz w:val="24"/>
          <w:szCs w:val="24"/>
        </w:rPr>
        <w:t>“</w:t>
      </w:r>
      <w:r w:rsidR="224BF531" w:rsidRPr="00C543FE">
        <w:rPr>
          <w:rFonts w:ascii="Calibri" w:hAnsi="Calibri" w:cs="Calibri"/>
          <w:b/>
          <w:bCs/>
          <w:sz w:val="24"/>
          <w:szCs w:val="24"/>
        </w:rPr>
        <w:t xml:space="preserve">mouse” and </w:t>
      </w:r>
      <w:r w:rsidR="224BF531" w:rsidRPr="00316793">
        <w:rPr>
          <w:rFonts w:ascii="Calibri" w:hAnsi="Calibri" w:cs="Calibri"/>
          <w:b/>
          <w:bCs/>
          <w:sz w:val="24"/>
          <w:szCs w:val="24"/>
        </w:rPr>
        <w:t>“</w:t>
      </w:r>
      <w:r w:rsidR="224BF531" w:rsidRPr="00C543FE">
        <w:rPr>
          <w:rFonts w:ascii="Calibri" w:hAnsi="Calibri" w:cs="Calibri"/>
          <w:b/>
          <w:bCs/>
          <w:sz w:val="24"/>
          <w:szCs w:val="24"/>
        </w:rPr>
        <w:t xml:space="preserve">rat” in KER2009 </w:t>
      </w:r>
      <w:r w:rsidR="224BF531" w:rsidRPr="00316793">
        <w:rPr>
          <w:rFonts w:ascii="Calibri" w:hAnsi="Calibri" w:cs="Calibri"/>
          <w:b/>
          <w:bCs/>
          <w:sz w:val="24"/>
          <w:szCs w:val="24"/>
        </w:rPr>
        <w:t>“</w:t>
      </w:r>
      <w:r w:rsidR="224BF531" w:rsidRPr="00C543FE">
        <w:rPr>
          <w:rFonts w:ascii="Calibri" w:hAnsi="Calibri" w:cs="Calibri"/>
          <w:b/>
          <w:bCs/>
          <w:sz w:val="24"/>
          <w:szCs w:val="24"/>
        </w:rPr>
        <w:t xml:space="preserve">Increase, ROS leads to Increase, Oxidative Stress” was added by authors of different AOP and deleted by the authors of AOP324. Has the author of AOP505 been informed? The rational for deleting </w:t>
      </w:r>
      <w:r w:rsidR="224BF531" w:rsidRPr="00316793">
        <w:rPr>
          <w:rFonts w:ascii="Calibri" w:hAnsi="Calibri" w:cs="Calibri"/>
          <w:b/>
          <w:bCs/>
          <w:sz w:val="24"/>
          <w:szCs w:val="24"/>
        </w:rPr>
        <w:t>“</w:t>
      </w:r>
      <w:r w:rsidR="224BF531" w:rsidRPr="00C543FE">
        <w:rPr>
          <w:rFonts w:ascii="Calibri" w:hAnsi="Calibri" w:cs="Calibri"/>
          <w:b/>
          <w:bCs/>
          <w:sz w:val="24"/>
          <w:szCs w:val="24"/>
        </w:rPr>
        <w:t xml:space="preserve">mouse” and </w:t>
      </w:r>
      <w:r w:rsidR="224BF531" w:rsidRPr="00316793">
        <w:rPr>
          <w:rFonts w:ascii="Calibri" w:hAnsi="Calibri" w:cs="Calibri"/>
          <w:b/>
          <w:bCs/>
          <w:sz w:val="24"/>
          <w:szCs w:val="24"/>
        </w:rPr>
        <w:t>“</w:t>
      </w:r>
      <w:r w:rsidR="224BF531" w:rsidRPr="00C543FE">
        <w:rPr>
          <w:rFonts w:ascii="Calibri" w:hAnsi="Calibri" w:cs="Calibri"/>
          <w:b/>
          <w:bCs/>
          <w:sz w:val="24"/>
          <w:szCs w:val="24"/>
        </w:rPr>
        <w:t xml:space="preserve">rat” can be explained. In text of Domain of Applicability, it is described as </w:t>
      </w:r>
      <w:r w:rsidR="224BF531" w:rsidRPr="00316793">
        <w:rPr>
          <w:rFonts w:ascii="Calibri" w:hAnsi="Calibri" w:cs="Calibri"/>
          <w:b/>
          <w:bCs/>
          <w:sz w:val="24"/>
          <w:szCs w:val="24"/>
        </w:rPr>
        <w:t>“</w:t>
      </w:r>
      <w:r w:rsidR="224BF531" w:rsidRPr="00C543FE">
        <w:rPr>
          <w:rFonts w:ascii="Calibri" w:hAnsi="Calibri" w:cs="Calibri"/>
          <w:b/>
          <w:bCs/>
          <w:sz w:val="24"/>
          <w:szCs w:val="24"/>
        </w:rPr>
        <w:t xml:space="preserve">The current AOP-Wiki relationship page identifies human, mouse and rat with high evidence, but the ROS-growth evidence base supports extension to algae, fish, crustaceans, mollusks and other organisms relevant to environmental toxicology (AOP-Wiki, 2026a). The relationship is expected to be conserved because it is based on redox chemistry and conserved antioxidant-defense systems rather than on a </w:t>
      </w:r>
      <w:proofErr w:type="spellStart"/>
      <w:r w:rsidR="224BF531" w:rsidRPr="00C543FE">
        <w:rPr>
          <w:rFonts w:ascii="Calibri" w:hAnsi="Calibri" w:cs="Calibri"/>
          <w:b/>
          <w:bCs/>
          <w:sz w:val="24"/>
          <w:szCs w:val="24"/>
        </w:rPr>
        <w:t>taxon</w:t>
      </w:r>
      <w:proofErr w:type="spellEnd"/>
      <w:r w:rsidR="224BF531" w:rsidRPr="00C543FE">
        <w:rPr>
          <w:rFonts w:ascii="Calibri" w:hAnsi="Calibri" w:cs="Calibri"/>
          <w:b/>
          <w:bCs/>
          <w:sz w:val="24"/>
          <w:szCs w:val="24"/>
        </w:rPr>
        <w:t>-specific receptor or signaling pathway.” as of July 31st</w:t>
      </w:r>
      <w:proofErr w:type="gramStart"/>
      <w:r w:rsidR="224BF531" w:rsidRPr="00C543FE">
        <w:rPr>
          <w:rFonts w:ascii="Calibri" w:hAnsi="Calibri" w:cs="Calibri"/>
          <w:b/>
          <w:bCs/>
          <w:sz w:val="24"/>
          <w:szCs w:val="24"/>
        </w:rPr>
        <w:t xml:space="preserve"> 2026</w:t>
      </w:r>
      <w:proofErr w:type="gramEnd"/>
      <w:r w:rsidR="224BF531" w:rsidRPr="00C543FE">
        <w:rPr>
          <w:rFonts w:ascii="Calibri" w:hAnsi="Calibri" w:cs="Calibri"/>
          <w:b/>
          <w:bCs/>
          <w:sz w:val="24"/>
          <w:szCs w:val="24"/>
        </w:rPr>
        <w:t>.</w:t>
      </w:r>
    </w:p>
    <w:p w14:paraId="11F9E17E" w14:textId="59546202" w:rsidR="00E83825" w:rsidRDefault="00E83825">
      <w:pPr>
        <w:pStyle w:val="21"/>
        <w:rPr>
          <w:rFonts w:ascii="Calibri" w:hAnsi="Calibri" w:cs="Calibri"/>
          <w:color w:val="0070C0"/>
          <w:sz w:val="24"/>
          <w:szCs w:val="24"/>
        </w:rPr>
      </w:pPr>
      <w:r w:rsidRPr="00E83825">
        <w:rPr>
          <w:rFonts w:ascii="Calibri" w:hAnsi="Calibri" w:cs="Calibri"/>
          <w:b/>
          <w:bCs/>
          <w:color w:val="0070C0"/>
          <w:sz w:val="24"/>
          <w:szCs w:val="24"/>
        </w:rPr>
        <w:t>Authors’ response</w:t>
      </w:r>
      <w:r w:rsidRPr="00E83825">
        <w:rPr>
          <w:rFonts w:ascii="Calibri" w:hAnsi="Calibri" w:cs="Calibri"/>
          <w:color w:val="0070C0"/>
          <w:sz w:val="24"/>
          <w:szCs w:val="24"/>
        </w:rPr>
        <w:t>: This was a mistake and we have added mouse and rat back to the domain of applicability</w:t>
      </w:r>
      <w:r w:rsidR="004A0F0F">
        <w:rPr>
          <w:rFonts w:ascii="Calibri" w:hAnsi="Calibri" w:cs="Calibri"/>
          <w:color w:val="0070C0"/>
          <w:sz w:val="24"/>
          <w:szCs w:val="24"/>
        </w:rPr>
        <w:t>.</w:t>
      </w:r>
    </w:p>
    <w:p w14:paraId="283F1261" w14:textId="16B0E643" w:rsidR="00D87625" w:rsidRDefault="00D87625">
      <w:pPr>
        <w:pStyle w:val="21"/>
        <w:rPr>
          <w:rFonts w:ascii="Calibri" w:hAnsi="Calibri" w:cs="Calibri"/>
          <w:color w:val="0070C0"/>
          <w:sz w:val="24"/>
          <w:szCs w:val="24"/>
        </w:rPr>
      </w:pPr>
      <w:r>
        <w:rPr>
          <w:noProof/>
        </w:rPr>
        <w:lastRenderedPageBreak/>
        <w:drawing>
          <wp:inline distT="0" distB="0" distL="0" distR="0" wp14:anchorId="1B7E55B5" wp14:editId="58AAD187">
            <wp:extent cx="3464097" cy="2452687"/>
            <wp:effectExtent l="0" t="0" r="3175" b="5080"/>
            <wp:docPr id="1165242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242520" name=""/>
                    <pic:cNvPicPr/>
                  </pic:nvPicPr>
                  <pic:blipFill>
                    <a:blip r:embed="rId13"/>
                    <a:stretch>
                      <a:fillRect/>
                    </a:stretch>
                  </pic:blipFill>
                  <pic:spPr>
                    <a:xfrm>
                      <a:off x="0" y="0"/>
                      <a:ext cx="3469468" cy="2456489"/>
                    </a:xfrm>
                    <a:prstGeom prst="rect">
                      <a:avLst/>
                    </a:prstGeom>
                  </pic:spPr>
                </pic:pic>
              </a:graphicData>
            </a:graphic>
          </wp:inline>
        </w:drawing>
      </w:r>
    </w:p>
    <w:p w14:paraId="53BD9D96" w14:textId="77777777" w:rsidR="00342BD0" w:rsidRPr="0018719F" w:rsidRDefault="00342BD0" w:rsidP="00342BD0">
      <w:pPr>
        <w:pStyle w:val="21"/>
        <w:rPr>
          <w:rFonts w:ascii="Calibri" w:hAnsi="Calibri" w:cs="Calibri"/>
          <w:color w:val="EE0000"/>
          <w:sz w:val="24"/>
          <w:szCs w:val="24"/>
        </w:rPr>
      </w:pPr>
      <w:r w:rsidRPr="0018719F">
        <w:rPr>
          <w:rFonts w:ascii="Calibri" w:hAnsi="Calibri" w:cs="Calibri"/>
          <w:color w:val="EE0000"/>
          <w:sz w:val="24"/>
          <w:szCs w:val="24"/>
        </w:rPr>
        <w:t>Coach’s comment: Okay.</w:t>
      </w:r>
    </w:p>
    <w:p w14:paraId="77EA63AD" w14:textId="77777777" w:rsidR="001C4D98" w:rsidRDefault="001C4D98">
      <w:pPr>
        <w:pStyle w:val="21"/>
        <w:rPr>
          <w:rFonts w:ascii="Calibri" w:hAnsi="Calibri" w:cs="Calibri"/>
          <w:color w:val="0070C0"/>
          <w:sz w:val="24"/>
          <w:szCs w:val="24"/>
        </w:rPr>
      </w:pPr>
    </w:p>
    <w:p w14:paraId="374A0860" w14:textId="77777777" w:rsidR="001C4D98" w:rsidRPr="001C4D98" w:rsidRDefault="001C4D98" w:rsidP="001C4D98">
      <w:pPr>
        <w:pStyle w:val="21"/>
        <w:rPr>
          <w:rFonts w:ascii="Calibri" w:hAnsi="Calibri" w:cs="Calibri"/>
          <w:b/>
          <w:bCs/>
          <w:sz w:val="24"/>
          <w:szCs w:val="24"/>
        </w:rPr>
      </w:pPr>
      <w:r w:rsidRPr="001C4D98">
        <w:rPr>
          <w:rFonts w:ascii="Calibri" w:hAnsi="Calibri" w:cs="Calibri"/>
          <w:b/>
          <w:bCs/>
          <w:sz w:val="24"/>
          <w:szCs w:val="24"/>
        </w:rPr>
        <w:t>8. Please revise KER3480, KER2203, KER2204 and KER2205.</w:t>
      </w:r>
    </w:p>
    <w:p w14:paraId="2E300FCF" w14:textId="77777777" w:rsidR="001C4D98" w:rsidRDefault="001C4D98" w:rsidP="001C4D98">
      <w:pPr>
        <w:pStyle w:val="21"/>
        <w:rPr>
          <w:rFonts w:ascii="Calibri" w:hAnsi="Calibri" w:cs="Calibri"/>
          <w:b/>
          <w:bCs/>
          <w:sz w:val="24"/>
          <w:szCs w:val="24"/>
        </w:rPr>
      </w:pPr>
      <w:r w:rsidRPr="001C4D98">
        <w:rPr>
          <w:rFonts w:ascii="Calibri" w:hAnsi="Calibri" w:cs="Calibri"/>
          <w:b/>
          <w:bCs/>
          <w:sz w:val="24"/>
          <w:szCs w:val="24"/>
        </w:rPr>
        <w:t>(Revision points are highlighted with markers in the excel file.)</w:t>
      </w:r>
    </w:p>
    <w:p w14:paraId="71F7DB8C" w14:textId="3A656E02" w:rsidR="00A033FD" w:rsidRDefault="00A033FD" w:rsidP="00A033FD">
      <w:pPr>
        <w:pStyle w:val="21"/>
        <w:rPr>
          <w:rFonts w:ascii="Calibri" w:hAnsi="Calibri" w:cs="Calibri"/>
          <w:color w:val="0070C0"/>
          <w:sz w:val="24"/>
          <w:szCs w:val="24"/>
        </w:rPr>
      </w:pPr>
      <w:r w:rsidRPr="00E83825">
        <w:rPr>
          <w:rFonts w:ascii="Calibri" w:hAnsi="Calibri" w:cs="Calibri"/>
          <w:b/>
          <w:bCs/>
          <w:color w:val="0070C0"/>
          <w:sz w:val="24"/>
          <w:szCs w:val="24"/>
        </w:rPr>
        <w:t>Authors’ response</w:t>
      </w:r>
      <w:r w:rsidRPr="00E83825">
        <w:rPr>
          <w:rFonts w:ascii="Calibri" w:hAnsi="Calibri" w:cs="Calibri"/>
          <w:color w:val="0070C0"/>
          <w:sz w:val="24"/>
          <w:szCs w:val="24"/>
        </w:rPr>
        <w:t xml:space="preserve">: </w:t>
      </w:r>
      <w:r w:rsidR="006A538F">
        <w:rPr>
          <w:rFonts w:ascii="Calibri" w:hAnsi="Calibri" w:cs="Calibri"/>
          <w:color w:val="0070C0"/>
          <w:sz w:val="24"/>
          <w:szCs w:val="24"/>
        </w:rPr>
        <w:t>We have added text the missing sections on these KER pages</w:t>
      </w:r>
      <w:r>
        <w:rPr>
          <w:rFonts w:ascii="Calibri" w:hAnsi="Calibri" w:cs="Calibri"/>
          <w:color w:val="0070C0"/>
          <w:sz w:val="24"/>
          <w:szCs w:val="24"/>
        </w:rPr>
        <w:t>.</w:t>
      </w:r>
    </w:p>
    <w:p w14:paraId="4774D474" w14:textId="77777777" w:rsidR="00342BD0" w:rsidRPr="0018719F" w:rsidRDefault="00342BD0" w:rsidP="00342BD0">
      <w:pPr>
        <w:pStyle w:val="21"/>
        <w:rPr>
          <w:rFonts w:ascii="Calibri" w:hAnsi="Calibri" w:cs="Calibri"/>
          <w:color w:val="EE0000"/>
          <w:sz w:val="24"/>
          <w:szCs w:val="24"/>
        </w:rPr>
      </w:pPr>
      <w:r w:rsidRPr="0018719F">
        <w:rPr>
          <w:rFonts w:ascii="Calibri" w:hAnsi="Calibri" w:cs="Calibri"/>
          <w:color w:val="EE0000"/>
          <w:sz w:val="24"/>
          <w:szCs w:val="24"/>
        </w:rPr>
        <w:t>Coach’s comment: Okay.</w:t>
      </w:r>
    </w:p>
    <w:p w14:paraId="4F48CF6A" w14:textId="77777777" w:rsidR="001C4D98" w:rsidRDefault="001C4D98">
      <w:pPr>
        <w:pStyle w:val="21"/>
        <w:rPr>
          <w:rFonts w:ascii="Calibri" w:hAnsi="Calibri" w:cs="Calibri"/>
          <w:color w:val="0070C0"/>
          <w:sz w:val="24"/>
          <w:szCs w:val="24"/>
        </w:rPr>
      </w:pPr>
    </w:p>
    <w:p w14:paraId="739AC4A4" w14:textId="568A97C3" w:rsidR="0005016B" w:rsidRPr="00E83825" w:rsidRDefault="0005016B">
      <w:pPr>
        <w:pStyle w:val="21"/>
        <w:rPr>
          <w:rFonts w:ascii="Calibri" w:hAnsi="Calibri" w:cs="Calibri"/>
          <w:color w:val="0070C0"/>
        </w:rPr>
      </w:pPr>
    </w:p>
    <w:sectPr w:rsidR="0005016B" w:rsidRPr="00E8382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058DA5" w14:textId="77777777" w:rsidR="00A60748" w:rsidRDefault="00A60748">
      <w:r>
        <w:separator/>
      </w:r>
    </w:p>
  </w:endnote>
  <w:endnote w:type="continuationSeparator" w:id="0">
    <w:p w14:paraId="2FC79576" w14:textId="77777777" w:rsidR="00A60748" w:rsidRDefault="00A60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ヒラギノ角ゴ ProN W6">
    <w:altName w:val="SimSun"/>
    <w:panose1 w:val="020B0600000000000000"/>
    <w:charset w:val="80"/>
    <w:family w:val="swiss"/>
    <w:pitch w:val="variable"/>
    <w:sig w:usb0="E00002FF" w:usb1="7AC7FFFF" w:usb2="00000012" w:usb3="00000000" w:csb0="0002000D" w:csb1="00000000"/>
  </w:font>
  <w:font w:name="ＭＳ ゴシック">
    <w:altName w:val="MS Gothic"/>
    <w:panose1 w:val="020B0609070205080204"/>
    <w:charset w:val="80"/>
    <w:family w:val="modern"/>
    <w:pitch w:val="fixed"/>
    <w:sig w:usb0="E00002FF" w:usb1="6AC7FDFB" w:usb2="08000012" w:usb3="00000000" w:csb0="0002009F" w:csb1="00000000"/>
  </w:font>
  <w:font w:name="ヒラギノ角ゴ ProN W3">
    <w:altName w:val="Yu Gothic"/>
    <w:panose1 w:val="020B0300000000000000"/>
    <w:charset w:val="80"/>
    <w:family w:val="swiss"/>
    <w:pitch w:val="variable"/>
    <w:sig w:usb0="E00002FF" w:usb1="7AC7FFFF" w:usb2="00000012" w:usb3="00000000" w:csb0="0002000D" w:csb1="00000000"/>
  </w:font>
  <w:font w:name="SimSun">
    <w:altName w:val="宋体"/>
    <w:panose1 w:val="02010600030101010101"/>
    <w:charset w:val="86"/>
    <w:family w:val="auto"/>
    <w:pitch w:val="variable"/>
    <w:sig w:usb0="00000203" w:usb1="288F0000" w:usb2="00000016" w:usb3="00000000" w:csb0="00040001" w:csb1="00000000"/>
  </w:font>
  <w:font w:name="ＭＳ 明朝">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2A6659" w14:textId="77777777" w:rsidR="003D09C2" w:rsidRDefault="003D09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D00F1B" w14:textId="77777777" w:rsidR="00A60748" w:rsidRDefault="00A60748">
      <w:r>
        <w:separator/>
      </w:r>
    </w:p>
  </w:footnote>
  <w:footnote w:type="continuationSeparator" w:id="0">
    <w:p w14:paraId="38A7F8AA" w14:textId="77777777" w:rsidR="00A60748" w:rsidRDefault="00A607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37501D" w14:textId="77777777" w:rsidR="003D09C2" w:rsidRDefault="003D09C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4E05E2"/>
    <w:multiLevelType w:val="hybridMultilevel"/>
    <w:tmpl w:val="FAA0787E"/>
    <w:lvl w:ilvl="0" w:tplc="B4EAFD02">
      <w:start w:val="2"/>
      <w:numFmt w:val="bullet"/>
      <w:lvlText w:val="-"/>
      <w:lvlJc w:val="left"/>
      <w:pPr>
        <w:ind w:left="720" w:hanging="360"/>
      </w:pPr>
      <w:rPr>
        <w:rFonts w:ascii="Calibri" w:eastAsia="Arial Unicode M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BF0BB1"/>
    <w:multiLevelType w:val="multilevel"/>
    <w:tmpl w:val="62CC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8561205">
    <w:abstractNumId w:val="1"/>
  </w:num>
  <w:num w:numId="2" w16cid:durableId="360484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4BF531"/>
    <w:rsid w:val="0005016B"/>
    <w:rsid w:val="00086FCF"/>
    <w:rsid w:val="0012403B"/>
    <w:rsid w:val="00142E71"/>
    <w:rsid w:val="0018719F"/>
    <w:rsid w:val="001A7D4A"/>
    <w:rsid w:val="001B6924"/>
    <w:rsid w:val="001C4D98"/>
    <w:rsid w:val="001F58BC"/>
    <w:rsid w:val="00244B5E"/>
    <w:rsid w:val="00316793"/>
    <w:rsid w:val="00342BD0"/>
    <w:rsid w:val="0037679A"/>
    <w:rsid w:val="003B7FB1"/>
    <w:rsid w:val="003C2E23"/>
    <w:rsid w:val="003D09C2"/>
    <w:rsid w:val="00432C5F"/>
    <w:rsid w:val="004573E3"/>
    <w:rsid w:val="004A0F0F"/>
    <w:rsid w:val="004B1C57"/>
    <w:rsid w:val="005111B4"/>
    <w:rsid w:val="005A2760"/>
    <w:rsid w:val="005D79BD"/>
    <w:rsid w:val="00647143"/>
    <w:rsid w:val="006758B1"/>
    <w:rsid w:val="00694174"/>
    <w:rsid w:val="006A538F"/>
    <w:rsid w:val="006F7935"/>
    <w:rsid w:val="007407B6"/>
    <w:rsid w:val="0074081D"/>
    <w:rsid w:val="007C13AC"/>
    <w:rsid w:val="00817241"/>
    <w:rsid w:val="008476F2"/>
    <w:rsid w:val="00933984"/>
    <w:rsid w:val="009B50C8"/>
    <w:rsid w:val="009D715F"/>
    <w:rsid w:val="009E0B82"/>
    <w:rsid w:val="009E1302"/>
    <w:rsid w:val="00A033FD"/>
    <w:rsid w:val="00A3462D"/>
    <w:rsid w:val="00A60748"/>
    <w:rsid w:val="00A7374B"/>
    <w:rsid w:val="00AF53DA"/>
    <w:rsid w:val="00B22A1C"/>
    <w:rsid w:val="00B61762"/>
    <w:rsid w:val="00BA1E71"/>
    <w:rsid w:val="00C52D37"/>
    <w:rsid w:val="00C543FE"/>
    <w:rsid w:val="00CD04C2"/>
    <w:rsid w:val="00D219EE"/>
    <w:rsid w:val="00D87625"/>
    <w:rsid w:val="00DA4134"/>
    <w:rsid w:val="00DE06D4"/>
    <w:rsid w:val="00E02C3F"/>
    <w:rsid w:val="00E51FA6"/>
    <w:rsid w:val="00E83825"/>
    <w:rsid w:val="00EC2C79"/>
    <w:rsid w:val="00FB46DE"/>
    <w:rsid w:val="00FC143B"/>
    <w:rsid w:val="0471B243"/>
    <w:rsid w:val="1DD74747"/>
    <w:rsid w:val="224BF531"/>
    <w:rsid w:val="3100E855"/>
    <w:rsid w:val="4B330696"/>
    <w:rsid w:val="5508C1D4"/>
    <w:rsid w:val="55A35812"/>
    <w:rsid w:val="6A2DE6B9"/>
    <w:rsid w:val="75F97B28"/>
    <w:rsid w:val="7EAE7A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B51C1E7"/>
  <w15:docId w15:val="{76B84F10-913D-4E68-9A04-5DE569497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en-US"/>
    </w:rPr>
  </w:style>
  <w:style w:type="paragraph" w:styleId="1">
    <w:name w:val="heading 1"/>
    <w:basedOn w:val="a"/>
    <w:next w:val="a"/>
    <w:link w:val="10"/>
    <w:uiPriority w:val="9"/>
    <w:qFormat/>
    <w:rsid w:val="009E1302"/>
    <w:pPr>
      <w:keepNext/>
      <w:keepLines/>
      <w:spacing w:before="240"/>
      <w:outlineLvl w:val="0"/>
    </w:pPr>
    <w:rPr>
      <w:rFonts w:asciiTheme="majorHAnsi" w:eastAsiaTheme="majorEastAsia" w:hAnsiTheme="majorHAnsi" w:cstheme="majorBidi"/>
      <w:color w:val="0079BF" w:themeColor="accent1" w:themeShade="BF"/>
      <w:sz w:val="32"/>
      <w:szCs w:val="32"/>
    </w:rPr>
  </w:style>
  <w:style w:type="paragraph" w:styleId="2">
    <w:name w:val="heading 2"/>
    <w:basedOn w:val="a"/>
    <w:next w:val="a"/>
    <w:link w:val="20"/>
    <w:uiPriority w:val="9"/>
    <w:semiHidden/>
    <w:unhideWhenUsed/>
    <w:qFormat/>
    <w:rsid w:val="004573E3"/>
    <w:pPr>
      <w:keepNext/>
      <w:keepLines/>
      <w:spacing w:before="40"/>
      <w:outlineLvl w:val="1"/>
    </w:pPr>
    <w:rPr>
      <w:rFonts w:asciiTheme="majorHAnsi" w:eastAsiaTheme="majorEastAsia" w:hAnsiTheme="majorHAnsi" w:cstheme="majorBidi"/>
      <w:color w:val="0079BF"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paragraph" w:customStyle="1" w:styleId="21">
    <w:name w:val="表スタイル2"/>
    <w:rPr>
      <w:rFonts w:ascii="ヒラギノ角ゴ ProN W3" w:hAnsi="ヒラギノ角ゴ ProN W3" w:cs="Arial Unicode MS"/>
      <w:color w:val="000000"/>
      <w14:textOutline w14:w="0" w14:cap="flat" w14:cmpd="sng" w14:algn="ctr">
        <w14:noFill/>
        <w14:prstDash w14:val="solid"/>
        <w14:bevel/>
      </w14:textOutline>
    </w:rPr>
  </w:style>
  <w:style w:type="character" w:customStyle="1" w:styleId="20">
    <w:name w:val="見出し 2 (文字)"/>
    <w:basedOn w:val="a0"/>
    <w:link w:val="2"/>
    <w:uiPriority w:val="9"/>
    <w:semiHidden/>
    <w:rsid w:val="004573E3"/>
    <w:rPr>
      <w:rFonts w:asciiTheme="majorHAnsi" w:eastAsiaTheme="majorEastAsia" w:hAnsiTheme="majorHAnsi" w:cstheme="majorBidi"/>
      <w:color w:val="0079BF" w:themeColor="accent1" w:themeShade="BF"/>
      <w:sz w:val="26"/>
      <w:szCs w:val="26"/>
      <w:lang w:eastAsia="en-US"/>
    </w:rPr>
  </w:style>
  <w:style w:type="character" w:customStyle="1" w:styleId="10">
    <w:name w:val="見出し 1 (文字)"/>
    <w:basedOn w:val="a0"/>
    <w:link w:val="1"/>
    <w:uiPriority w:val="9"/>
    <w:rsid w:val="009E1302"/>
    <w:rPr>
      <w:rFonts w:asciiTheme="majorHAnsi" w:eastAsiaTheme="majorEastAsia" w:hAnsiTheme="majorHAnsi" w:cstheme="majorBidi"/>
      <w:color w:val="0079BF" w:themeColor="accent1" w:themeShade="BF"/>
      <w:sz w:val="32"/>
      <w:szCs w:val="32"/>
      <w:lang w:eastAsia="en-US"/>
    </w:rPr>
  </w:style>
  <w:style w:type="paragraph" w:styleId="a4">
    <w:name w:val="Date"/>
    <w:basedOn w:val="a"/>
    <w:next w:val="a"/>
    <w:link w:val="a5"/>
    <w:uiPriority w:val="99"/>
    <w:semiHidden/>
    <w:unhideWhenUsed/>
    <w:rsid w:val="006758B1"/>
  </w:style>
  <w:style w:type="character" w:customStyle="1" w:styleId="a5">
    <w:name w:val="日付 (文字)"/>
    <w:basedOn w:val="a0"/>
    <w:link w:val="a4"/>
    <w:uiPriority w:val="99"/>
    <w:semiHidden/>
    <w:rsid w:val="006758B1"/>
    <w:rPr>
      <w:sz w:val="24"/>
      <w:szCs w:val="24"/>
      <w:lang w:eastAsia="en-US"/>
    </w:rPr>
  </w:style>
  <w:style w:type="paragraph" w:styleId="a6">
    <w:name w:val="Revision"/>
    <w:hidden/>
    <w:uiPriority w:val="99"/>
    <w:semiHidden/>
    <w:rsid w:val="0018719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ヒラギノ角ゴ ProN W6"/>
        <a:ea typeface="ＭＳ ゴシック"/>
        <a:cs typeface="ヒラギノ角ゴ ProN W6"/>
      </a:majorFont>
      <a:minorFont>
        <a:latin typeface="ヒラギノ角ゴ ProN W3"/>
        <a:ea typeface="ＭＳ 明朝"/>
        <a:cs typeface="ヒラギノ角ゴ ProN W3"/>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348730-c32e-4e45-862a-f8e2e332ac82">
      <Terms xmlns="http://schemas.microsoft.com/office/infopath/2007/PartnerControls"/>
    </lcf76f155ced4ddcb4097134ff3c332f>
    <TaxCatchAll xmlns="6695ee26-38dc-448d-8b66-efca32bbe7e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08915437893234094C03242F1CA80FC" ma:contentTypeVersion="13" ma:contentTypeDescription="新しいドキュメントを作成します。" ma:contentTypeScope="" ma:versionID="2e879c7a6fe3466694c64e014bbd2d17">
  <xsd:schema xmlns:xsd="http://www.w3.org/2001/XMLSchema" xmlns:xs="http://www.w3.org/2001/XMLSchema" xmlns:p="http://schemas.microsoft.com/office/2006/metadata/properties" xmlns:ns2="48348730-c32e-4e45-862a-f8e2e332ac82" xmlns:ns3="6695ee26-38dc-448d-8b66-efca32bbe7e2" targetNamespace="http://schemas.microsoft.com/office/2006/metadata/properties" ma:root="true" ma:fieldsID="d19056d810ecff436714a6da1ecfae96" ns2:_="" ns3:_="">
    <xsd:import namespace="48348730-c32e-4e45-862a-f8e2e332ac82"/>
    <xsd:import namespace="6695ee26-38dc-448d-8b66-efca32bbe7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48730-c32e-4e45-862a-f8e2e332ac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815bc7ff-1f48-4bc4-b241-583c9e507fd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695ee26-38dc-448d-8b66-efca32bbe7e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796c5e5-c146-4a66-b8a6-0a34dc0df7ee}" ma:internalName="TaxCatchAll" ma:showField="CatchAllData" ma:web="6695ee26-38dc-448d-8b66-efca32bbe7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6AE265-7A10-42CE-8D08-B9F87DF6EB44}">
  <ds:schemaRefs>
    <ds:schemaRef ds:uri="http://schemas.microsoft.com/office/2006/metadata/properties"/>
    <ds:schemaRef ds:uri="http://schemas.microsoft.com/office/infopath/2007/PartnerControls"/>
    <ds:schemaRef ds:uri="48348730-c32e-4e45-862a-f8e2e332ac82"/>
    <ds:schemaRef ds:uri="6695ee26-38dc-448d-8b66-efca32bbe7e2"/>
  </ds:schemaRefs>
</ds:datastoreItem>
</file>

<file path=customXml/itemProps2.xml><?xml version="1.0" encoding="utf-8"?>
<ds:datastoreItem xmlns:ds="http://schemas.openxmlformats.org/officeDocument/2006/customXml" ds:itemID="{F9B732F3-6700-47B6-A082-F877822DB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48730-c32e-4e45-862a-f8e2e332ac82"/>
    <ds:schemaRef ds:uri="6695ee26-38dc-448d-8b66-efca32bbe7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4C0AEA-4796-4F7A-A85E-4170651DD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885</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NIVA</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 Song</dc:creator>
  <cp:lastModifiedBy>Shihori Tanabe</cp:lastModifiedBy>
  <cp:revision>3</cp:revision>
  <dcterms:created xsi:type="dcterms:W3CDTF">2026-10-22T23:33:00Z</dcterms:created>
  <dcterms:modified xsi:type="dcterms:W3CDTF">2026-10-22T23:34:00Z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0x010100408915437893234094C03242F1CA80FC</vt:lpwstr>
  </property>
  <property fmtid="{D5CDD505-2E9C-101B-9397-08002B2CF9AE}" pid="3" name="MediaServiceImageTags">
    <vt:lpwstr/>
  </property>
</Properties>
</file>